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7000000">
      <w:pPr>
        <w:pStyle w:val="Style_3"/>
        <w:spacing w:after="0" w:before="0"/>
        <w:ind/>
        <w:rPr>
          <w:u w:val="single"/>
        </w:rPr>
      </w:pPr>
      <w:bookmarkStart w:id="1" w:name="_title_1"/>
      <w:bookmarkStart w:id="2" w:name="_ref_60854"/>
      <w:r>
        <w:t>Договор</w:t>
      </w:r>
      <w:r>
        <w:t>  №</w:t>
      </w:r>
      <w:bookmarkEnd w:id="1"/>
      <w:bookmarkEnd w:id="2"/>
      <w:r>
        <w:rPr>
          <w:u w:val="single"/>
        </w:rPr>
        <w:t xml:space="preserve"> </w:t>
      </w:r>
      <w:r>
        <w:rPr>
          <w:u w:val="single"/>
        </w:rPr>
        <w:t>______</w:t>
      </w:r>
    </w:p>
    <w:p w14:paraId="08000000">
      <w:pPr>
        <w:pStyle w:val="Style_4"/>
        <w:spacing w:after="0" w:before="0"/>
        <w:ind/>
        <w:rPr>
          <w:rFonts w:ascii="Arial" w:hAnsi="Arial"/>
          <w:color w:val="2C2D2E"/>
          <w:sz w:val="23"/>
        </w:rPr>
      </w:pPr>
      <w:bookmarkStart w:id="3" w:name="_ref_64512"/>
      <w:r>
        <w:rPr>
          <w:color w:val="000000"/>
          <w:sz w:val="23"/>
        </w:rPr>
        <w:t>г. Ставрополь                                                                                                         </w:t>
      </w:r>
      <w:r>
        <w:rPr>
          <w:color w:val="000000"/>
          <w:sz w:val="23"/>
        </w:rPr>
        <w:t xml:space="preserve"> </w:t>
      </w:r>
      <w:r>
        <w:rPr>
          <w:color w:val="000000"/>
          <w:sz w:val="23"/>
        </w:rPr>
        <w:t> </w:t>
      </w:r>
      <w:r>
        <w:rPr>
          <w:color w:val="000000"/>
          <w:sz w:val="23"/>
        </w:rPr>
        <w:t xml:space="preserve">    </w:t>
      </w:r>
      <w:r>
        <w:rPr>
          <w:color w:val="000000"/>
          <w:sz w:val="23"/>
        </w:rPr>
        <w:t xml:space="preserve">    «____» </w:t>
      </w:r>
      <w:r>
        <w:rPr>
          <w:color w:val="000000"/>
          <w:sz w:val="23"/>
        </w:rPr>
        <w:t>___ 2023</w:t>
      </w:r>
      <w:r>
        <w:rPr>
          <w:color w:val="000000"/>
          <w:sz w:val="23"/>
        </w:rPr>
        <w:t xml:space="preserve"> </w:t>
      </w:r>
    </w:p>
    <w:p w14:paraId="09000000">
      <w:pPr>
        <w:pStyle w:val="Style_4"/>
        <w:spacing w:after="315"/>
        <w:ind w:firstLine="698" w:left="165" w:right="15"/>
        <w:jc w:val="both"/>
        <w:rPr>
          <w:rFonts w:ascii="Arial" w:hAnsi="Arial"/>
          <w:color w:val="2C2D2E"/>
          <w:sz w:val="23"/>
        </w:rPr>
      </w:pPr>
      <w:r>
        <w:rPr>
          <w:color w:val="000000"/>
          <w:sz w:val="23"/>
        </w:rPr>
        <w:t xml:space="preserve">Государственное бюджетное профессиональное образовательное учреждение «Ставропольский строительный техникум», </w:t>
      </w:r>
      <w:r>
        <w:rPr>
          <w:color w:val="000000"/>
          <w:sz w:val="23"/>
        </w:rPr>
        <w:t>именуемое в дальнейшем «Заказчик»,</w:t>
      </w:r>
      <w:r>
        <w:rPr>
          <w:color w:val="000000"/>
          <w:sz w:val="23"/>
        </w:rPr>
        <w:t xml:space="preserve"> в лице директора Семилетова В</w:t>
      </w:r>
      <w:r>
        <w:rPr>
          <w:color w:val="000000"/>
          <w:sz w:val="23"/>
        </w:rPr>
        <w:t xml:space="preserve">ладимира </w:t>
      </w:r>
      <w:r>
        <w:rPr>
          <w:color w:val="000000"/>
          <w:sz w:val="23"/>
        </w:rPr>
        <w:t>А</w:t>
      </w:r>
      <w:r>
        <w:rPr>
          <w:color w:val="000000"/>
          <w:sz w:val="23"/>
        </w:rPr>
        <w:t>ндреевича</w:t>
      </w:r>
      <w:r>
        <w:rPr>
          <w:color w:val="000000"/>
          <w:sz w:val="23"/>
        </w:rPr>
        <w:t xml:space="preserve">, </w:t>
      </w:r>
      <w:r>
        <w:rPr>
          <w:color w:val="000000"/>
          <w:sz w:val="23"/>
        </w:rPr>
        <w:t xml:space="preserve">действующего на основании Устава, </w:t>
      </w:r>
      <w:r>
        <w:rPr>
          <w:color w:val="000000"/>
          <w:sz w:val="23"/>
        </w:rPr>
        <w:t>с одной стороны, и _____________________________,</w:t>
      </w:r>
      <w:r>
        <w:rPr>
          <w:color w:val="000000"/>
          <w:sz w:val="23"/>
        </w:rPr>
        <w:t xml:space="preserve"> </w:t>
      </w:r>
      <w:r>
        <w:rPr>
          <w:color w:val="000000"/>
          <w:sz w:val="23"/>
        </w:rPr>
        <w:t>именуемый в дальнейшем «</w:t>
      </w:r>
      <w:r>
        <w:rPr>
          <w:color w:val="000000"/>
          <w:sz w:val="23"/>
        </w:rPr>
        <w:t>Поставщик</w:t>
      </w:r>
      <w:r>
        <w:rPr>
          <w:color w:val="000000"/>
          <w:sz w:val="23"/>
        </w:rPr>
        <w:t>», в лице _______________</w:t>
      </w:r>
      <w:r>
        <w:rPr>
          <w:color w:val="000000"/>
          <w:sz w:val="23"/>
        </w:rPr>
        <w:t xml:space="preserve"> действующ</w:t>
      </w:r>
      <w:r>
        <w:rPr>
          <w:color w:val="000000"/>
          <w:sz w:val="23"/>
        </w:rPr>
        <w:t>его</w:t>
      </w:r>
      <w:r>
        <w:rPr>
          <w:color w:val="000000"/>
          <w:sz w:val="23"/>
        </w:rPr>
        <w:t xml:space="preserve"> на основании ____________________________________________________, с другой стороны, </w:t>
      </w:r>
      <w:r>
        <w:t>в</w:t>
      </w:r>
      <w:r>
        <w:t xml:space="preserve"> </w:t>
      </w:r>
      <w:r>
        <w:t>соответствии с Положением о закупке товаров, работ, и услуг ГБПОУ ССТ, разработанного на основании ФЗ от 18</w:t>
      </w:r>
      <w:r>
        <w:t xml:space="preserve"> </w:t>
      </w:r>
      <w:r>
        <w:t>июля 2011г. №223-ФЗ «О закупках товаров, работ, услуг отдельными видами юридических лиц»</w:t>
      </w:r>
      <w:r>
        <w:rPr>
          <w:color w:val="000000"/>
          <w:sz w:val="23"/>
        </w:rPr>
        <w:t>, заключили настоящий договор о нижеследующем:</w:t>
      </w:r>
    </w:p>
    <w:p w14:paraId="0A000000">
      <w:pPr>
        <w:tabs>
          <w:tab w:leader="none" w:pos="1985" w:val="left"/>
        </w:tabs>
        <w:spacing w:after="0" w:before="0" w:line="240" w:lineRule="auto"/>
        <w:ind w:right="-1"/>
        <w:jc w:val="center"/>
        <w:rPr>
          <w:sz w:val="24"/>
        </w:rPr>
      </w:pPr>
      <w:r>
        <w:rPr>
          <w:b w:val="1"/>
          <w:sz w:val="24"/>
        </w:rPr>
        <w:t xml:space="preserve">1. </w:t>
      </w:r>
      <w:r>
        <w:rPr>
          <w:b w:val="1"/>
          <w:sz w:val="24"/>
        </w:rPr>
        <w:t xml:space="preserve">Предмет </w:t>
      </w:r>
      <w:bookmarkEnd w:id="3"/>
      <w:r>
        <w:rPr>
          <w:b w:val="1"/>
          <w:sz w:val="24"/>
        </w:rPr>
        <w:t>договора</w:t>
      </w:r>
    </w:p>
    <w:p w14:paraId="0B000000">
      <w:pPr>
        <w:pStyle w:val="Style_5"/>
        <w:spacing w:after="0" w:before="0" w:line="240" w:lineRule="auto"/>
        <w:ind/>
        <w:rPr>
          <w:sz w:val="24"/>
        </w:rPr>
      </w:pPr>
      <w:bookmarkStart w:id="4" w:name="_ref_67261"/>
      <w:r>
        <w:rPr>
          <w:sz w:val="24"/>
        </w:rPr>
        <w:t xml:space="preserve">Поставщик обязуется передать Заказчику в обусловленный </w:t>
      </w:r>
      <w:r>
        <w:rPr>
          <w:sz w:val="24"/>
        </w:rPr>
        <w:t>Д</w:t>
      </w:r>
      <w:r>
        <w:rPr>
          <w:sz w:val="24"/>
        </w:rPr>
        <w:t>оговоро</w:t>
      </w:r>
      <w:r>
        <w:rPr>
          <w:sz w:val="24"/>
        </w:rPr>
        <w:t xml:space="preserve">м срок, а Заказчик обязуется оплатить товар, перечисленный в Приложении № </w:t>
      </w:r>
      <w:r>
        <w:rPr>
          <w:sz w:val="24"/>
        </w:rPr>
        <w:t>1</w:t>
      </w:r>
      <w:r>
        <w:rPr>
          <w:sz w:val="24"/>
        </w:rPr>
        <w:t xml:space="preserve"> к </w:t>
      </w:r>
      <w:r>
        <w:rPr>
          <w:sz w:val="24"/>
        </w:rPr>
        <w:t>Договору</w:t>
      </w:r>
      <w:r>
        <w:rPr>
          <w:sz w:val="24"/>
        </w:rPr>
        <w:t xml:space="preserve"> ("Спецификация товара") (далее - товар).</w:t>
      </w:r>
      <w:bookmarkEnd w:id="4"/>
    </w:p>
    <w:p w14:paraId="0C000000">
      <w:pPr>
        <w:pStyle w:val="Style_6"/>
        <w:spacing w:after="0" w:before="0" w:line="240" w:lineRule="auto"/>
        <w:ind/>
      </w:pPr>
      <w:bookmarkStart w:id="5" w:name="_ref_311441"/>
      <w:r>
        <w:t>Комплектность и документы на товар</w:t>
      </w:r>
      <w:bookmarkEnd w:id="5"/>
    </w:p>
    <w:p w14:paraId="0D000000">
      <w:pPr>
        <w:pStyle w:val="Style_5"/>
        <w:spacing w:after="0" w:before="0" w:line="240" w:lineRule="auto"/>
        <w:ind/>
        <w:rPr>
          <w:sz w:val="24"/>
        </w:rPr>
      </w:pPr>
      <w:bookmarkStart w:id="6" w:name="_ref_327017"/>
      <w:r>
        <w:rPr>
          <w:sz w:val="24"/>
        </w:rPr>
        <w:t>Т</w:t>
      </w:r>
      <w:r>
        <w:rPr>
          <w:sz w:val="24"/>
        </w:rPr>
        <w:t>ехнические характеристи</w:t>
      </w:r>
      <w:r>
        <w:rPr>
          <w:sz w:val="24"/>
        </w:rPr>
        <w:t>ки</w:t>
      </w:r>
      <w:r>
        <w:rPr>
          <w:sz w:val="24"/>
        </w:rPr>
        <w:t xml:space="preserve"> товара указан</w:t>
      </w:r>
      <w:r>
        <w:rPr>
          <w:sz w:val="24"/>
        </w:rPr>
        <w:t>ы</w:t>
      </w:r>
      <w:r>
        <w:rPr>
          <w:sz w:val="24"/>
        </w:rPr>
        <w:t xml:space="preserve"> в Приложении № </w:t>
      </w:r>
      <w:r>
        <w:rPr>
          <w:sz w:val="24"/>
        </w:rPr>
        <w:t>1</w:t>
      </w:r>
      <w:r>
        <w:rPr>
          <w:sz w:val="24"/>
        </w:rPr>
        <w:t xml:space="preserve"> к </w:t>
      </w:r>
      <w:r>
        <w:rPr>
          <w:sz w:val="24"/>
        </w:rPr>
        <w:t>Договору</w:t>
      </w:r>
      <w:r>
        <w:rPr>
          <w:sz w:val="24"/>
        </w:rPr>
        <w:t xml:space="preserve"> ("Спецификация товара").</w:t>
      </w:r>
      <w:bookmarkEnd w:id="6"/>
    </w:p>
    <w:p w14:paraId="0E000000">
      <w:pPr>
        <w:pStyle w:val="Style_5"/>
        <w:spacing w:after="0" w:before="0" w:line="240" w:lineRule="auto"/>
        <w:ind/>
        <w:rPr>
          <w:sz w:val="24"/>
        </w:rPr>
      </w:pPr>
      <w:bookmarkStart w:id="7" w:name="_ref_327022"/>
      <w:r>
        <w:rPr>
          <w:sz w:val="24"/>
        </w:rPr>
        <w:t>Поставщик обязан передать Заказчику следующие документы на товар:</w:t>
      </w:r>
      <w:bookmarkEnd w:id="7"/>
    </w:p>
    <w:p w14:paraId="0F000000">
      <w:pPr>
        <w:pStyle w:val="Style_7"/>
        <w:spacing w:after="0" w:before="0" w:line="240" w:lineRule="auto"/>
        <w:ind w:firstLine="0"/>
        <w:jc w:val="both"/>
        <w:rPr>
          <w:sz w:val="24"/>
        </w:rPr>
      </w:pPr>
      <w:r>
        <w:rPr>
          <w:sz w:val="24"/>
        </w:rPr>
        <w:t>товарную накладную (№ ТОРГ-12) в двух экземплярах (один экземпляр возвращает</w:t>
      </w:r>
      <w:r>
        <w:rPr>
          <w:sz w:val="24"/>
        </w:rPr>
        <w:t>ся Поставщику после подписания), с</w:t>
      </w:r>
      <w:r>
        <w:rPr>
          <w:sz w:val="24"/>
        </w:rPr>
        <w:t>ч</w:t>
      </w:r>
      <w:r>
        <w:rPr>
          <w:sz w:val="24"/>
        </w:rPr>
        <w:t xml:space="preserve">ет на оплату в одном экземпляре и </w:t>
      </w:r>
      <w:r>
        <w:rPr>
          <w:sz w:val="24"/>
        </w:rPr>
        <w:t>счет-фактуру в одном экземпляре</w:t>
      </w:r>
      <w:r>
        <w:rPr>
          <w:sz w:val="24"/>
        </w:rPr>
        <w:t>.</w:t>
      </w:r>
    </w:p>
    <w:p w14:paraId="10000000">
      <w:pPr>
        <w:pStyle w:val="Style_7"/>
        <w:spacing w:after="0" w:before="0" w:line="240" w:lineRule="auto"/>
        <w:ind w:firstLine="0"/>
        <w:jc w:val="both"/>
        <w:rPr>
          <w:sz w:val="24"/>
        </w:rPr>
      </w:pPr>
    </w:p>
    <w:p w14:paraId="11000000">
      <w:pPr>
        <w:pStyle w:val="Style_6"/>
        <w:spacing w:after="0" w:before="0" w:line="240" w:lineRule="auto"/>
        <w:ind/>
      </w:pPr>
      <w:bookmarkStart w:id="8" w:name="_ref_1064124"/>
      <w:r>
        <w:t>Качество и безопасность товара. Гарантия качества</w:t>
      </w:r>
      <w:bookmarkEnd w:id="8"/>
    </w:p>
    <w:p w14:paraId="12000000">
      <w:pPr>
        <w:pStyle w:val="Style_5"/>
        <w:spacing w:after="0" w:before="0" w:line="240" w:lineRule="auto"/>
        <w:ind/>
        <w:rPr>
          <w:sz w:val="24"/>
        </w:rPr>
      </w:pPr>
      <w:bookmarkStart w:id="9" w:name="_ref_1066947"/>
      <w:r>
        <w:rPr>
          <w:sz w:val="24"/>
        </w:rPr>
        <w:t xml:space="preserve">Передаваемый по </w:t>
      </w:r>
      <w:r>
        <w:rPr>
          <w:sz w:val="24"/>
        </w:rPr>
        <w:t>Договор</w:t>
      </w:r>
      <w:r>
        <w:rPr>
          <w:sz w:val="24"/>
        </w:rPr>
        <w:t>у товар является новым (не был в употреблении, не прошел рем</w:t>
      </w:r>
      <w:r>
        <w:rPr>
          <w:sz w:val="24"/>
        </w:rPr>
        <w:t>онт, в том числе восстановление</w:t>
      </w:r>
      <w:r>
        <w:rPr>
          <w:sz w:val="24"/>
        </w:rPr>
        <w:t>) и недостатков не имеет.</w:t>
      </w:r>
      <w:bookmarkEnd w:id="9"/>
    </w:p>
    <w:p w14:paraId="13000000">
      <w:pPr>
        <w:pStyle w:val="Style_5"/>
        <w:spacing w:after="0" w:before="0" w:line="240" w:lineRule="auto"/>
        <w:ind/>
        <w:rPr>
          <w:sz w:val="24"/>
        </w:rPr>
      </w:pPr>
      <w:bookmarkStart w:id="10" w:name="_ref_1066948"/>
      <w:r>
        <w:rPr>
          <w:sz w:val="24"/>
        </w:rPr>
        <w:t xml:space="preserve">Качество </w:t>
      </w:r>
      <w:r>
        <w:rPr>
          <w:sz w:val="24"/>
        </w:rPr>
        <w:t>товара должн</w:t>
      </w:r>
      <w:r>
        <w:rPr>
          <w:sz w:val="24"/>
        </w:rPr>
        <w:t>о</w:t>
      </w:r>
      <w:r>
        <w:rPr>
          <w:sz w:val="24"/>
        </w:rPr>
        <w:t xml:space="preserve"> соответствовать обязательным требованиям, установленным нормативными документами для соответствующего вида товара.</w:t>
      </w:r>
      <w:bookmarkEnd w:id="10"/>
    </w:p>
    <w:p w14:paraId="14000000">
      <w:pPr>
        <w:pStyle w:val="Style_5"/>
        <w:spacing w:after="0" w:before="0" w:line="240" w:lineRule="auto"/>
        <w:ind/>
        <w:rPr>
          <w:sz w:val="24"/>
        </w:rPr>
      </w:pPr>
      <w:bookmarkStart w:id="11" w:name="_ref_1066951"/>
      <w:r>
        <w:rPr>
          <w:sz w:val="24"/>
        </w:rPr>
        <w:t>Поставщик</w:t>
      </w:r>
      <w:r>
        <w:rPr>
          <w:sz w:val="24"/>
        </w:rPr>
        <w:t xml:space="preserve"> отвечает за недостатки товара </w:t>
      </w:r>
      <w:r>
        <w:rPr>
          <w:sz w:val="24"/>
        </w:rPr>
        <w:t>если не докажет, что они возникли после передачи Заказчику товара вследствие нарушения правил пользования товаром или его хранения, либо действий третьих лиц, либо обстоятельств непреодолимой силы.</w:t>
      </w:r>
      <w:bookmarkEnd w:id="11"/>
    </w:p>
    <w:p w14:paraId="15000000">
      <w:pPr>
        <w:pStyle w:val="Style_5"/>
        <w:spacing w:after="0" w:before="0" w:line="240" w:lineRule="auto"/>
        <w:ind/>
        <w:rPr>
          <w:sz w:val="24"/>
        </w:rPr>
      </w:pPr>
      <w:bookmarkStart w:id="12" w:name="_ref_1069702"/>
      <w:r>
        <w:rPr>
          <w:sz w:val="24"/>
        </w:rPr>
        <w:t xml:space="preserve">Если Поставщику предъявлено требование о безвозмездном устранении недостатков товара согласно п. 1 ст. 518, п. 1 ст. 475 ГК РФ, оно должно быть исполнено в течение </w:t>
      </w:r>
      <w:r>
        <w:rPr>
          <w:sz w:val="24"/>
        </w:rPr>
        <w:t xml:space="preserve">двух </w:t>
      </w:r>
      <w:r>
        <w:rPr>
          <w:sz w:val="24"/>
        </w:rPr>
        <w:t>рабочих</w:t>
      </w:r>
      <w:r>
        <w:rPr>
          <w:sz w:val="24"/>
        </w:rPr>
        <w:t xml:space="preserve"> дней</w:t>
      </w:r>
      <w:r>
        <w:rPr>
          <w:sz w:val="24"/>
        </w:rPr>
        <w:t xml:space="preserve"> с момента его получения.</w:t>
      </w:r>
      <w:bookmarkEnd w:id="12"/>
    </w:p>
    <w:p w14:paraId="16000000">
      <w:pPr>
        <w:pStyle w:val="Style_6"/>
        <w:spacing w:after="0" w:before="0" w:line="240" w:lineRule="auto"/>
        <w:ind/>
      </w:pPr>
      <w:bookmarkStart w:id="13" w:name="_ref_1248009"/>
      <w:r>
        <w:t>Цена и порядок оплаты</w:t>
      </w:r>
      <w:bookmarkEnd w:id="13"/>
    </w:p>
    <w:p w14:paraId="17000000">
      <w:pPr>
        <w:pStyle w:val="Style_5"/>
        <w:rPr>
          <w:sz w:val="24"/>
        </w:rPr>
      </w:pPr>
      <w:bookmarkStart w:id="14" w:name="_ref_1253335"/>
      <w:r>
        <w:rPr>
          <w:sz w:val="24"/>
        </w:rPr>
        <w:t xml:space="preserve">Цена товара (цена </w:t>
      </w:r>
      <w:r>
        <w:rPr>
          <w:sz w:val="24"/>
        </w:rPr>
        <w:t>Договора</w:t>
      </w:r>
      <w:r>
        <w:rPr>
          <w:sz w:val="24"/>
        </w:rPr>
        <w:t xml:space="preserve">) составляет </w:t>
      </w:r>
      <w:r>
        <w:rPr>
          <w:sz w:val="24"/>
        </w:rPr>
        <w:t>432 000,00</w:t>
      </w:r>
      <w:r>
        <w:rPr>
          <w:sz w:val="24"/>
        </w:rPr>
        <w:t xml:space="preserve"> </w:t>
      </w:r>
      <w:r>
        <w:rPr>
          <w:sz w:val="24"/>
        </w:rPr>
        <w:t>(</w:t>
      </w:r>
      <w:bookmarkEnd w:id="14"/>
      <w:r>
        <w:rPr>
          <w:sz w:val="24"/>
        </w:rPr>
        <w:t xml:space="preserve">Четыреста тридцать две тысячи </w:t>
      </w:r>
      <w:r>
        <w:rPr>
          <w:sz w:val="24"/>
        </w:rPr>
        <w:t>) рубл</w:t>
      </w:r>
      <w:r>
        <w:rPr>
          <w:sz w:val="24"/>
        </w:rPr>
        <w:t>ей</w:t>
      </w:r>
      <w:r>
        <w:rPr>
          <w:sz w:val="24"/>
        </w:rPr>
        <w:t xml:space="preserve"> </w:t>
      </w:r>
      <w:r>
        <w:rPr>
          <w:sz w:val="24"/>
        </w:rPr>
        <w:t>00</w:t>
      </w:r>
      <w:r>
        <w:rPr>
          <w:sz w:val="24"/>
        </w:rPr>
        <w:t xml:space="preserve"> копе</w:t>
      </w:r>
      <w:r>
        <w:rPr>
          <w:sz w:val="24"/>
        </w:rPr>
        <w:t>е</w:t>
      </w:r>
      <w:r>
        <w:rPr>
          <w:sz w:val="24"/>
        </w:rPr>
        <w:t>к</w:t>
      </w:r>
      <w:r>
        <w:rPr>
          <w:sz w:val="24"/>
        </w:rPr>
        <w:t>, в т.ч.</w:t>
      </w:r>
      <w:r>
        <w:rPr>
          <w:sz w:val="24"/>
        </w:rPr>
        <w:t xml:space="preserve"> </w:t>
      </w:r>
      <w:r>
        <w:rPr>
          <w:sz w:val="24"/>
        </w:rPr>
        <w:t>НДС</w:t>
      </w:r>
      <w:r>
        <w:rPr>
          <w:sz w:val="24"/>
        </w:rPr>
        <w:t xml:space="preserve"> / НДС не</w:t>
      </w:r>
      <w:r>
        <w:rPr>
          <w:sz w:val="24"/>
        </w:rPr>
        <w:t xml:space="preserve"> облагается.</w:t>
      </w:r>
    </w:p>
    <w:p w14:paraId="18000000">
      <w:pPr>
        <w:spacing w:after="0" w:before="0" w:line="240" w:lineRule="auto"/>
        <w:ind w:firstLine="0"/>
        <w:rPr>
          <w:sz w:val="24"/>
        </w:rPr>
      </w:pPr>
      <w:bookmarkStart w:id="15" w:name="_ref_1253338"/>
      <w:r>
        <w:rPr>
          <w:sz w:val="24"/>
        </w:rPr>
        <w:t xml:space="preserve">Цена </w:t>
      </w:r>
      <w:r>
        <w:rPr>
          <w:sz w:val="24"/>
        </w:rPr>
        <w:t>Договора</w:t>
      </w:r>
      <w:r>
        <w:rPr>
          <w:sz w:val="24"/>
        </w:rPr>
        <w:t xml:space="preserve"> является твердой и определяется на весь срок исполнения </w:t>
      </w:r>
      <w:r>
        <w:rPr>
          <w:sz w:val="24"/>
        </w:rPr>
        <w:t>Договор</w:t>
      </w:r>
      <w:r>
        <w:rPr>
          <w:sz w:val="24"/>
        </w:rPr>
        <w:t>а, в цену товара входят: доставка</w:t>
      </w:r>
      <w:r>
        <w:rPr>
          <w:sz w:val="24"/>
        </w:rPr>
        <w:t xml:space="preserve"> </w:t>
      </w:r>
      <w:r>
        <w:rPr>
          <w:sz w:val="24"/>
        </w:rPr>
        <w:t xml:space="preserve">по месту расположения </w:t>
      </w:r>
      <w:r>
        <w:rPr>
          <w:sz w:val="24"/>
        </w:rPr>
        <w:t>Заказчика</w:t>
      </w:r>
      <w:r>
        <w:rPr>
          <w:sz w:val="24"/>
        </w:rPr>
        <w:t>.</w:t>
      </w:r>
    </w:p>
    <w:p w14:paraId="19000000">
      <w:pPr>
        <w:pStyle w:val="Style_5"/>
        <w:spacing w:after="0" w:before="0" w:line="240" w:lineRule="auto"/>
        <w:ind/>
        <w:rPr>
          <w:sz w:val="24"/>
        </w:rPr>
      </w:pPr>
      <w:r>
        <w:rPr>
          <w:sz w:val="24"/>
        </w:rPr>
        <w:t>Изменение цены допускается только в случаях, предусмотренных законом.</w:t>
      </w:r>
      <w:bookmarkEnd w:id="15"/>
    </w:p>
    <w:p w14:paraId="1A000000">
      <w:pPr>
        <w:pStyle w:val="Style_5"/>
        <w:spacing w:after="0" w:before="0" w:line="240" w:lineRule="auto"/>
        <w:ind/>
        <w:rPr>
          <w:sz w:val="24"/>
        </w:rPr>
      </w:pPr>
      <w:bookmarkStart w:id="16" w:name="_ref_1253343"/>
      <w:r>
        <w:rPr>
          <w:sz w:val="24"/>
        </w:rPr>
        <w:t>Заказчик обязуется оплатить товар</w:t>
      </w:r>
      <w:r>
        <w:rPr>
          <w:sz w:val="24"/>
        </w:rPr>
        <w:t xml:space="preserve"> в течение </w:t>
      </w:r>
      <w:r>
        <w:rPr>
          <w:sz w:val="24"/>
        </w:rPr>
        <w:t>7</w:t>
      </w:r>
      <w:r>
        <w:rPr>
          <w:sz w:val="24"/>
        </w:rPr>
        <w:t>-и</w:t>
      </w:r>
      <w:r>
        <w:rPr>
          <w:sz w:val="24"/>
        </w:rPr>
        <w:t xml:space="preserve"> банковских дней</w:t>
      </w:r>
      <w:r>
        <w:rPr>
          <w:sz w:val="24"/>
        </w:rPr>
        <w:t xml:space="preserve"> с даты подписания Заказчиком документа о приемке.</w:t>
      </w:r>
      <w:bookmarkEnd w:id="16"/>
    </w:p>
    <w:p w14:paraId="1B000000">
      <w:pPr>
        <w:pStyle w:val="Style_5"/>
        <w:spacing w:after="0" w:before="0" w:line="240" w:lineRule="auto"/>
        <w:ind/>
        <w:rPr>
          <w:sz w:val="24"/>
        </w:rPr>
      </w:pPr>
      <w:bookmarkStart w:id="17" w:name="_ref_1253344"/>
      <w:r>
        <w:rPr>
          <w:sz w:val="24"/>
        </w:rPr>
        <w:t xml:space="preserve">Расчеты по </w:t>
      </w:r>
      <w:r>
        <w:rPr>
          <w:sz w:val="24"/>
        </w:rPr>
        <w:t>договор</w:t>
      </w:r>
      <w:r>
        <w:rPr>
          <w:sz w:val="24"/>
        </w:rPr>
        <w:t>у осуществляются в безналичной форме платежными поручениями.</w:t>
      </w:r>
      <w:bookmarkEnd w:id="17"/>
    </w:p>
    <w:p w14:paraId="1C000000">
      <w:pPr>
        <w:pStyle w:val="Style_5"/>
        <w:spacing w:after="0" w:before="0" w:line="240" w:lineRule="auto"/>
        <w:ind/>
        <w:rPr>
          <w:sz w:val="24"/>
        </w:rPr>
      </w:pPr>
      <w:bookmarkStart w:id="18" w:name="_ref_1253346"/>
      <w:r>
        <w:rPr>
          <w:sz w:val="24"/>
        </w:rPr>
        <w:t>Обязательство Заказчика по оплате считается исполненным в момент зачисления денежных средств на расчетный счет Поставщика.</w:t>
      </w:r>
      <w:bookmarkEnd w:id="18"/>
    </w:p>
    <w:p w14:paraId="1D000000">
      <w:pPr>
        <w:pStyle w:val="Style_6"/>
        <w:spacing w:after="0" w:before="0" w:line="240" w:lineRule="auto"/>
        <w:ind/>
      </w:pPr>
      <w:bookmarkStart w:id="19" w:name="_ref_1162992"/>
      <w:r>
        <w:t>Срок и условия поставки</w:t>
      </w:r>
      <w:bookmarkEnd w:id="19"/>
    </w:p>
    <w:p w14:paraId="1E000000">
      <w:pPr>
        <w:pStyle w:val="Style_5"/>
        <w:spacing w:after="0" w:before="0" w:line="240" w:lineRule="auto"/>
        <w:ind/>
        <w:rPr>
          <w:sz w:val="24"/>
        </w:rPr>
      </w:pPr>
      <w:bookmarkStart w:id="20" w:name="_ref_1167209"/>
      <w:r>
        <w:rPr>
          <w:sz w:val="24"/>
        </w:rPr>
        <w:t>Срок поставки</w:t>
      </w:r>
      <w:bookmarkEnd w:id="20"/>
    </w:p>
    <w:p w14:paraId="1F000000">
      <w:pPr>
        <w:pStyle w:val="Style_8"/>
        <w:spacing w:after="0" w:before="0" w:line="240" w:lineRule="auto"/>
        <w:ind/>
        <w:rPr>
          <w:sz w:val="24"/>
        </w:rPr>
      </w:pPr>
      <w:bookmarkStart w:id="21" w:name="_ref_1204547"/>
      <w:r>
        <w:rPr>
          <w:sz w:val="24"/>
        </w:rPr>
        <w:t xml:space="preserve">Поставка товара должна быть осуществлена </w:t>
      </w:r>
      <w:r>
        <w:rPr>
          <w:sz w:val="24"/>
        </w:rPr>
        <w:t>Заказчик</w:t>
      </w:r>
      <w:r>
        <w:rPr>
          <w:sz w:val="24"/>
        </w:rPr>
        <w:t>у</w:t>
      </w:r>
      <w:r>
        <w:rPr>
          <w:sz w:val="24"/>
        </w:rPr>
        <w:t xml:space="preserve"> в </w:t>
      </w:r>
      <w:r>
        <w:rPr>
          <w:sz w:val="24"/>
        </w:rPr>
        <w:t>течени</w:t>
      </w:r>
      <w:r>
        <w:rPr>
          <w:sz w:val="24"/>
        </w:rPr>
        <w:t>е</w:t>
      </w:r>
      <w:r>
        <w:rPr>
          <w:sz w:val="24"/>
        </w:rPr>
        <w:t xml:space="preserve"> </w:t>
      </w:r>
      <w:r>
        <w:rPr>
          <w:sz w:val="24"/>
        </w:rPr>
        <w:t>7</w:t>
      </w:r>
      <w:r>
        <w:rPr>
          <w:sz w:val="24"/>
        </w:rPr>
        <w:t>-</w:t>
      </w:r>
      <w:r>
        <w:rPr>
          <w:sz w:val="24"/>
        </w:rPr>
        <w:t>и</w:t>
      </w:r>
      <w:r>
        <w:rPr>
          <w:sz w:val="24"/>
        </w:rPr>
        <w:t xml:space="preserve"> (</w:t>
      </w:r>
      <w:r>
        <w:rPr>
          <w:sz w:val="24"/>
        </w:rPr>
        <w:t>семи</w:t>
      </w:r>
      <w:r>
        <w:rPr>
          <w:sz w:val="24"/>
        </w:rPr>
        <w:t>)</w:t>
      </w:r>
      <w:r>
        <w:rPr>
          <w:sz w:val="24"/>
        </w:rPr>
        <w:t xml:space="preserve"> рабочих дней</w:t>
      </w:r>
      <w:r>
        <w:rPr>
          <w:sz w:val="24"/>
        </w:rPr>
        <w:t xml:space="preserve"> с даты заключения настоящего </w:t>
      </w:r>
      <w:r>
        <w:rPr>
          <w:sz w:val="24"/>
        </w:rPr>
        <w:t>договора</w:t>
      </w:r>
      <w:r>
        <w:rPr>
          <w:sz w:val="24"/>
        </w:rPr>
        <w:t>.</w:t>
      </w:r>
      <w:bookmarkEnd w:id="21"/>
    </w:p>
    <w:p w14:paraId="20000000">
      <w:pPr>
        <w:pStyle w:val="Style_8"/>
        <w:spacing w:after="0" w:before="0" w:line="240" w:lineRule="auto"/>
        <w:ind/>
        <w:rPr>
          <w:sz w:val="24"/>
        </w:rPr>
      </w:pPr>
      <w:bookmarkStart w:id="22" w:name="_ref_1204548"/>
      <w:r>
        <w:rPr>
          <w:sz w:val="24"/>
        </w:rPr>
        <w:t xml:space="preserve">При нарушении срока поставки товара Заказчик утрачивает интерес к </w:t>
      </w:r>
      <w:r>
        <w:rPr>
          <w:sz w:val="24"/>
        </w:rPr>
        <w:t>Договор</w:t>
      </w:r>
      <w:r>
        <w:rPr>
          <w:sz w:val="24"/>
        </w:rPr>
        <w:t xml:space="preserve">у. Поставщик вправе исполнить </w:t>
      </w:r>
      <w:r>
        <w:rPr>
          <w:sz w:val="24"/>
        </w:rPr>
        <w:t>Договор</w:t>
      </w:r>
      <w:r>
        <w:rPr>
          <w:sz w:val="24"/>
        </w:rPr>
        <w:t xml:space="preserve"> до наступления или после истечения определенного в нем срока поставки только с согласия Заказчика.</w:t>
      </w:r>
      <w:bookmarkEnd w:id="22"/>
    </w:p>
    <w:p w14:paraId="21000000">
      <w:pPr>
        <w:pStyle w:val="Style_5"/>
        <w:spacing w:after="0" w:before="0" w:line="240" w:lineRule="auto"/>
        <w:ind/>
        <w:rPr>
          <w:sz w:val="24"/>
        </w:rPr>
      </w:pPr>
      <w:bookmarkStart w:id="23" w:name="_ref_1167213"/>
      <w:r>
        <w:rPr>
          <w:sz w:val="24"/>
        </w:rPr>
        <w:t>Поставка товара осуществляется</w:t>
      </w:r>
      <w:r>
        <w:rPr>
          <w:sz w:val="24"/>
        </w:rPr>
        <w:t xml:space="preserve"> </w:t>
      </w:r>
      <w:r>
        <w:rPr>
          <w:sz w:val="24"/>
        </w:rPr>
        <w:t>силами и за счет Поставщика</w:t>
      </w:r>
      <w:r>
        <w:rPr>
          <w:sz w:val="24"/>
        </w:rPr>
        <w:t xml:space="preserve"> путем его доставки Заказчику по адресу</w:t>
      </w:r>
      <w:r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Ставропольский край, г. Ставро</w:t>
      </w:r>
      <w:r>
        <w:rPr>
          <w:sz w:val="24"/>
        </w:rPr>
        <w:t>поль, улица Комсомольская, 73</w:t>
      </w:r>
      <w:r>
        <w:rPr>
          <w:sz w:val="24"/>
        </w:rPr>
        <w:t>.</w:t>
      </w:r>
      <w:bookmarkEnd w:id="23"/>
    </w:p>
    <w:p w14:paraId="22000000">
      <w:pPr>
        <w:pStyle w:val="Style_8"/>
        <w:spacing w:after="0" w:before="0" w:line="240" w:lineRule="auto"/>
        <w:ind/>
        <w:rPr>
          <w:sz w:val="24"/>
        </w:rPr>
      </w:pPr>
      <w:bookmarkStart w:id="24" w:name="_ref_1191745"/>
      <w:r>
        <w:rPr>
          <w:sz w:val="24"/>
        </w:rPr>
        <w:t>Тара (упаковка) является одноразовой, возврату Поставщику не подлежит.</w:t>
      </w:r>
      <w:bookmarkEnd w:id="24"/>
    </w:p>
    <w:p w14:paraId="23000000">
      <w:pPr>
        <w:pStyle w:val="Style_5"/>
        <w:spacing w:after="0" w:before="0" w:line="240" w:lineRule="auto"/>
        <w:ind/>
        <w:rPr>
          <w:sz w:val="24"/>
        </w:rPr>
      </w:pPr>
      <w:bookmarkStart w:id="25" w:name="_ref_1175245"/>
      <w:r>
        <w:rPr>
          <w:sz w:val="24"/>
        </w:rPr>
        <w:t>Право собственности на товар переходит к Заказчику в момент передачи товара.</w:t>
      </w:r>
      <w:bookmarkEnd w:id="25"/>
    </w:p>
    <w:p w14:paraId="24000000">
      <w:pPr>
        <w:pStyle w:val="Style_5"/>
        <w:spacing w:after="0" w:before="0" w:line="240" w:lineRule="auto"/>
        <w:ind/>
        <w:rPr>
          <w:sz w:val="24"/>
        </w:rPr>
      </w:pPr>
      <w:bookmarkStart w:id="26" w:name="_ref_1175246"/>
      <w:r>
        <w:rPr>
          <w:sz w:val="24"/>
        </w:rPr>
        <w:t>Риски случайной гибели и случайного повреждения товара переходят к Заказчику с момента вручения ему товара.</w:t>
      </w:r>
      <w:bookmarkEnd w:id="26"/>
    </w:p>
    <w:p w14:paraId="25000000">
      <w:pPr>
        <w:pStyle w:val="Style_6"/>
        <w:spacing w:after="0" w:before="0" w:line="240" w:lineRule="auto"/>
        <w:ind/>
      </w:pPr>
      <w:bookmarkStart w:id="27" w:name="_ref_1287488"/>
      <w:r>
        <w:t>Приемка товара</w:t>
      </w:r>
      <w:bookmarkEnd w:id="27"/>
    </w:p>
    <w:p w14:paraId="26000000">
      <w:pPr>
        <w:pStyle w:val="Style_5"/>
        <w:spacing w:after="0" w:before="0" w:line="240" w:lineRule="auto"/>
        <w:ind/>
        <w:rPr>
          <w:sz w:val="24"/>
        </w:rPr>
      </w:pPr>
      <w:bookmarkStart w:id="28" w:name="_ref_1294608"/>
      <w:r>
        <w:rPr>
          <w:sz w:val="24"/>
        </w:rPr>
        <w:t>Приемка товара по количеству, качеству осуществляется согласно обычно предъявляемым требованиям.</w:t>
      </w:r>
      <w:bookmarkEnd w:id="28"/>
    </w:p>
    <w:p w14:paraId="27000000">
      <w:pPr>
        <w:pStyle w:val="Style_5"/>
        <w:spacing w:after="0" w:before="0" w:line="240" w:lineRule="auto"/>
        <w:ind/>
        <w:rPr>
          <w:sz w:val="24"/>
        </w:rPr>
      </w:pPr>
      <w:r>
        <w:rPr>
          <w:sz w:val="24"/>
        </w:rPr>
        <w:t>О недостатках в товаре, обнаруженных после его приемки, Заказчик обязан уведомить Поставщи</w:t>
      </w:r>
      <w:r>
        <w:rPr>
          <w:sz w:val="24"/>
        </w:rPr>
        <w:t>ка в письменной форме в течение одного рабочего дня</w:t>
      </w:r>
      <w:r>
        <w:rPr>
          <w:sz w:val="24"/>
        </w:rPr>
        <w:t xml:space="preserve"> с момента обнаружения недостатков.</w:t>
      </w:r>
    </w:p>
    <w:p w14:paraId="28000000">
      <w:pPr>
        <w:pStyle w:val="Style_6"/>
        <w:spacing w:after="0" w:before="0" w:line="240" w:lineRule="auto"/>
        <w:ind/>
      </w:pPr>
      <w:bookmarkStart w:id="29" w:name="_ref_1383236"/>
      <w:r>
        <w:t>Ответственность сторон</w:t>
      </w:r>
      <w:bookmarkEnd w:id="29"/>
    </w:p>
    <w:p w14:paraId="29000000">
      <w:pPr>
        <w:spacing w:after="0" w:before="0" w:line="240" w:lineRule="auto"/>
        <w:ind w:right="-6"/>
        <w:rPr>
          <w:color w:val="000000"/>
          <w:sz w:val="24"/>
        </w:rPr>
      </w:pPr>
      <w:bookmarkStart w:id="30" w:name="_ref_1470974"/>
      <w:bookmarkStart w:id="31" w:name="_ref_1422717"/>
      <w:r>
        <w:rPr>
          <w:sz w:val="24"/>
        </w:rPr>
        <w:t>7.1.</w:t>
      </w:r>
      <w:bookmarkEnd w:id="31"/>
      <w:r>
        <w:rPr>
          <w:color w:val="000000"/>
          <w:sz w:val="24"/>
        </w:rPr>
        <w:t>​ За нарушение обязательств по данному Договору Стороны несут ответственность в порядке, определенном законодательством РФ.</w:t>
      </w:r>
    </w:p>
    <w:p w14:paraId="2A000000">
      <w:pPr>
        <w:spacing w:after="0" w:before="0" w:line="240" w:lineRule="auto"/>
        <w:ind w:right="-6"/>
        <w:rPr>
          <w:color w:val="000000"/>
          <w:sz w:val="24"/>
        </w:rPr>
      </w:pPr>
      <w:r>
        <w:rPr>
          <w:color w:val="000000"/>
          <w:sz w:val="24"/>
        </w:rPr>
        <w:t xml:space="preserve">7.2. В случае нарушения обязательств по настоящему Договору Поставщиком, Поставщик уплачивает Заказчику неустойку в размере 0,1% (ноль целых одной десятой процента) от стоимости договора за каждый </w:t>
      </w:r>
      <w:r>
        <w:rPr>
          <w:color w:val="000000"/>
          <w:sz w:val="24"/>
        </w:rPr>
        <w:t>день просрочки, но не более 10%.</w:t>
      </w:r>
    </w:p>
    <w:p w14:paraId="2B000000">
      <w:pPr>
        <w:spacing w:after="0" w:before="0" w:line="240" w:lineRule="auto"/>
        <w:ind w:right="-6"/>
        <w:rPr>
          <w:color w:val="000000"/>
          <w:sz w:val="24"/>
        </w:rPr>
      </w:pPr>
      <w:r>
        <w:rPr>
          <w:color w:val="000000"/>
          <w:sz w:val="24"/>
        </w:rPr>
        <w:t>7.3. В случае нарушения обязательств по настоящему Договору Заказчиком, Заказчик уплачивает Поставщику неустойку в размере 0,1 % (ноль целых одной десятой процента) за каждый день просрочки, но не более 10% от стоимости неоплаченной в срок Продукции.</w:t>
      </w:r>
    </w:p>
    <w:p w14:paraId="2C000000">
      <w:pPr>
        <w:spacing w:after="0" w:before="0" w:line="240" w:lineRule="auto"/>
        <w:ind/>
        <w:rPr>
          <w:sz w:val="24"/>
        </w:rPr>
      </w:pPr>
      <w:r>
        <w:rPr>
          <w:color w:val="000000"/>
          <w:sz w:val="24"/>
        </w:rPr>
        <w:t>7.4. Неустойка подлежит уплате только в случае получения от Поставщика письменного требования об уплате неустойки, содержащего расчет ее размера</w:t>
      </w:r>
      <w:r>
        <w:rPr>
          <w:sz w:val="24"/>
        </w:rPr>
        <w:t xml:space="preserve"> Расторжение договора</w:t>
      </w:r>
      <w:r>
        <w:rPr>
          <w:sz w:val="24"/>
        </w:rPr>
        <w:t>.</w:t>
      </w:r>
    </w:p>
    <w:p w14:paraId="2D000000">
      <w:pPr>
        <w:pStyle w:val="Style_6"/>
        <w:spacing w:after="0" w:before="0" w:line="240" w:lineRule="auto"/>
        <w:ind/>
      </w:pPr>
      <w:r>
        <w:t xml:space="preserve">Расторжение </w:t>
      </w:r>
      <w:r>
        <w:t>д</w:t>
      </w:r>
      <w:r>
        <w:t>оговор</w:t>
      </w:r>
      <w:r>
        <w:t>а</w:t>
      </w:r>
      <w:bookmarkEnd w:id="30"/>
    </w:p>
    <w:p w14:paraId="2E000000">
      <w:pPr>
        <w:pStyle w:val="Style_5"/>
        <w:spacing w:after="0" w:before="0" w:line="240" w:lineRule="auto"/>
        <w:ind/>
        <w:rPr>
          <w:sz w:val="24"/>
        </w:rPr>
      </w:pPr>
      <w:bookmarkStart w:id="32" w:name="_ref_1470961"/>
      <w:r>
        <w:rPr>
          <w:sz w:val="24"/>
        </w:rPr>
        <w:t xml:space="preserve">Расторжение </w:t>
      </w:r>
      <w:r>
        <w:rPr>
          <w:sz w:val="24"/>
        </w:rPr>
        <w:t>Договора</w:t>
      </w:r>
      <w:r>
        <w:rPr>
          <w:sz w:val="24"/>
        </w:rPr>
        <w:t xml:space="preserve"> допускается по соглашению сторон или по решению суда.</w:t>
      </w:r>
      <w:bookmarkEnd w:id="32"/>
    </w:p>
    <w:p w14:paraId="2F000000">
      <w:pPr>
        <w:pStyle w:val="Style_6"/>
        <w:spacing w:after="0" w:before="0" w:line="240" w:lineRule="auto"/>
        <w:ind/>
      </w:pPr>
      <w:bookmarkStart w:id="33" w:name="_ref_1479603"/>
      <w:r>
        <w:t>Разрешение споров</w:t>
      </w:r>
      <w:bookmarkEnd w:id="33"/>
    </w:p>
    <w:p w14:paraId="30000000">
      <w:pPr>
        <w:pStyle w:val="Style_5"/>
        <w:spacing w:after="0" w:before="0" w:line="240" w:lineRule="auto"/>
        <w:ind/>
        <w:rPr>
          <w:sz w:val="24"/>
        </w:rPr>
      </w:pPr>
      <w:bookmarkStart w:id="34" w:name="_ref_1488308"/>
      <w:r>
        <w:rPr>
          <w:sz w:val="24"/>
        </w:rPr>
        <w:t xml:space="preserve">Споры, возникающие между Заказчиком и Поставщиком при заключении, изменении, расторжении и выполнении </w:t>
      </w:r>
      <w:r>
        <w:rPr>
          <w:sz w:val="24"/>
        </w:rPr>
        <w:t>Договора,</w:t>
      </w:r>
      <w:r>
        <w:rPr>
          <w:sz w:val="24"/>
        </w:rPr>
        <w:t xml:space="preserve"> а также споры о возмещении понесенных убытков, рассматриваются в установленном процессуальным законодательством порядке компетентным судом.</w:t>
      </w:r>
      <w:bookmarkEnd w:id="34"/>
    </w:p>
    <w:p w14:paraId="31000000">
      <w:pPr>
        <w:pStyle w:val="Style_6"/>
        <w:spacing w:after="0" w:before="0" w:line="240" w:lineRule="auto"/>
        <w:ind/>
      </w:pPr>
      <w:bookmarkStart w:id="35" w:name="_ref_1430317"/>
      <w:r>
        <w:t>Заключительные положения</w:t>
      </w:r>
      <w:bookmarkEnd w:id="35"/>
    </w:p>
    <w:p w14:paraId="32000000">
      <w:pPr>
        <w:pStyle w:val="Style_5"/>
        <w:spacing w:after="0" w:before="0" w:line="240" w:lineRule="auto"/>
        <w:ind/>
        <w:rPr>
          <w:sz w:val="24"/>
        </w:rPr>
      </w:pPr>
      <w:bookmarkStart w:id="36" w:name="_ref_1438048"/>
      <w:r>
        <w:rPr>
          <w:sz w:val="24"/>
        </w:rPr>
        <w:t>Договор</w:t>
      </w:r>
      <w:r>
        <w:rPr>
          <w:sz w:val="24"/>
        </w:rPr>
        <w:t xml:space="preserve"> вступает в силу и становится обязательным для сторон с момента его заключения.</w:t>
      </w:r>
      <w:bookmarkEnd w:id="36"/>
    </w:p>
    <w:p w14:paraId="33000000">
      <w:pPr>
        <w:pStyle w:val="Style_5"/>
        <w:spacing w:after="0" w:before="0" w:line="240" w:lineRule="auto"/>
        <w:ind/>
        <w:rPr>
          <w:sz w:val="24"/>
        </w:rPr>
      </w:pPr>
      <w:bookmarkStart w:id="37" w:name="_ref_1438049"/>
      <w:r>
        <w:rPr>
          <w:sz w:val="24"/>
        </w:rPr>
        <w:t>Договор</w:t>
      </w:r>
      <w:r>
        <w:rPr>
          <w:sz w:val="24"/>
        </w:rPr>
        <w:t xml:space="preserve"> действует по "</w:t>
      </w:r>
      <w:r>
        <w:rPr>
          <w:sz w:val="24"/>
        </w:rPr>
        <w:t>31</w:t>
      </w:r>
      <w:r>
        <w:rPr>
          <w:sz w:val="24"/>
        </w:rPr>
        <w:t xml:space="preserve">" </w:t>
      </w:r>
      <w:r>
        <w:rPr>
          <w:sz w:val="24"/>
        </w:rPr>
        <w:t>декабря</w:t>
      </w:r>
      <w:r>
        <w:rPr>
          <w:sz w:val="24"/>
        </w:rPr>
        <w:t xml:space="preserve"> </w:t>
      </w:r>
      <w:r>
        <w:rPr>
          <w:sz w:val="24"/>
        </w:rPr>
        <w:t>20</w:t>
      </w:r>
      <w:r>
        <w:rPr>
          <w:sz w:val="24"/>
        </w:rPr>
        <w:t>2</w:t>
      </w:r>
      <w:r>
        <w:rPr>
          <w:sz w:val="24"/>
        </w:rPr>
        <w:t>3</w:t>
      </w:r>
      <w:r>
        <w:rPr>
          <w:sz w:val="24"/>
        </w:rPr>
        <w:t xml:space="preserve"> г. включительно.</w:t>
      </w:r>
      <w:bookmarkEnd w:id="37"/>
    </w:p>
    <w:p w14:paraId="34000000">
      <w:pPr>
        <w:pStyle w:val="Style_5"/>
        <w:spacing w:after="0" w:before="0" w:line="240" w:lineRule="auto"/>
        <w:ind/>
        <w:rPr>
          <w:sz w:val="24"/>
        </w:rPr>
      </w:pPr>
      <w:bookmarkStart w:id="38" w:name="_ref_1438057"/>
      <w:r>
        <w:rPr>
          <w:sz w:val="24"/>
        </w:rPr>
        <w:t>Договор</w:t>
      </w:r>
      <w:r>
        <w:rPr>
          <w:sz w:val="24"/>
        </w:rPr>
        <w:t xml:space="preserve"> составлен в </w:t>
      </w:r>
      <w:r>
        <w:rPr>
          <w:sz w:val="24"/>
        </w:rPr>
        <w:t>двух</w:t>
      </w:r>
      <w:r>
        <w:rPr>
          <w:sz w:val="24"/>
        </w:rPr>
        <w:t xml:space="preserve"> экземплярах, по </w:t>
      </w:r>
      <w:r>
        <w:rPr>
          <w:sz w:val="24"/>
        </w:rPr>
        <w:t>одному</w:t>
      </w:r>
      <w:r>
        <w:rPr>
          <w:sz w:val="24"/>
        </w:rPr>
        <w:t xml:space="preserve"> для каждой из сторон.</w:t>
      </w:r>
      <w:bookmarkEnd w:id="38"/>
    </w:p>
    <w:p w14:paraId="35000000">
      <w:pPr>
        <w:pStyle w:val="Style_6"/>
        <w:spacing w:after="0" w:before="0" w:line="240" w:lineRule="auto"/>
        <w:ind/>
      </w:pPr>
      <w:bookmarkStart w:id="39" w:name="_ref_1280558"/>
      <w:r>
        <w:t>Адреса и реквизиты сторон</w:t>
      </w:r>
      <w:bookmarkEnd w:id="39"/>
    </w:p>
    <w:tbl>
      <w:tblPr>
        <w:tblStyle w:val="Style_9"/>
        <w:tblLayout w:type="fixed"/>
      </w:tblPr>
      <w:tblGrid>
        <w:gridCol w:w="6216"/>
        <w:gridCol w:w="4701"/>
      </w:tblGrid>
      <w:tr>
        <w:tc>
          <w:tcPr>
            <w:tcW w:type="dxa" w:w="6216"/>
          </w:tcPr>
          <w:p w14:paraId="36000000">
            <w:pPr>
              <w:pStyle w:val="Style_10"/>
              <w:keepNext w:val="1"/>
              <w:spacing w:after="0" w:before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Заказчик</w:t>
            </w:r>
          </w:p>
        </w:tc>
        <w:tc>
          <w:tcPr>
            <w:tcW w:type="dxa" w:w="4701"/>
          </w:tcPr>
          <w:p w14:paraId="37000000">
            <w:pPr>
              <w:pStyle w:val="Style_10"/>
              <w:keepNext w:val="1"/>
              <w:spacing w:after="0" w:before="0" w:line="240" w:lineRule="auto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Поставщик</w:t>
            </w:r>
          </w:p>
        </w:tc>
      </w:tr>
      <w:tr>
        <w:tc>
          <w:tcPr>
            <w:tcW w:type="dxa" w:w="6216"/>
          </w:tcPr>
          <w:tbl>
            <w:tblPr>
              <w:tblStyle w:val="Style_9"/>
              <w:tblLayout w:type="fixed"/>
            </w:tblPr>
            <w:tblGrid>
              <w:gridCol w:w="5670"/>
            </w:tblGrid>
            <w:tr>
              <w:tc>
                <w:tcPr>
                  <w:tcW w:type="dxa" w:w="5670"/>
                </w:tcPr>
                <w:p w14:paraId="38000000">
                  <w:pPr>
                    <w:spacing w:after="0" w:before="0" w:line="240" w:lineRule="auto"/>
                    <w:ind w:firstLine="0" w:right="-6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Полное наименование: Государственное бюджетное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профессиональное образовательное учре</w:t>
                  </w:r>
                  <w:r>
                    <w:rPr>
                      <w:color w:val="000000"/>
                      <w:sz w:val="24"/>
                    </w:rPr>
                    <w:t>ж</w:t>
                  </w:r>
                  <w:r>
                    <w:rPr>
                      <w:color w:val="000000"/>
                      <w:sz w:val="24"/>
                    </w:rPr>
                    <w:t>дение «Ставропольский стро</w:t>
                  </w:r>
                  <w:r>
                    <w:rPr>
                      <w:color w:val="000000"/>
                      <w:sz w:val="24"/>
                    </w:rPr>
                    <w:t>и</w:t>
                  </w:r>
                  <w:r>
                    <w:rPr>
                      <w:color w:val="000000"/>
                      <w:sz w:val="24"/>
                    </w:rPr>
                    <w:t>тельный техникум»</w:t>
                  </w:r>
                </w:p>
                <w:p w14:paraId="39000000">
                  <w:pPr>
                    <w:spacing w:after="0" w:before="0" w:line="240" w:lineRule="auto"/>
                    <w:ind w:firstLine="0" w:right="-6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Сокращенное наименование: ГБПОУ ССТ</w:t>
                  </w:r>
                </w:p>
                <w:p w14:paraId="3A000000">
                  <w:pPr>
                    <w:spacing w:after="0" w:before="0" w:line="240" w:lineRule="auto"/>
                    <w:ind w:firstLine="0" w:right="-6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Юридический адрес: </w:t>
                  </w:r>
                  <w:r>
                    <w:rPr>
                      <w:color w:val="000000"/>
                      <w:sz w:val="24"/>
                    </w:rPr>
                    <w:t>355035, г</w:t>
                  </w:r>
                  <w:r>
                    <w:rPr>
                      <w:color w:val="000000"/>
                      <w:sz w:val="24"/>
                    </w:rPr>
                    <w:t>. Ставрополь, ул. Ко</w:t>
                  </w:r>
                  <w:r>
                    <w:rPr>
                      <w:color w:val="000000"/>
                      <w:sz w:val="24"/>
                    </w:rPr>
                    <w:t>м</w:t>
                  </w:r>
                  <w:r>
                    <w:rPr>
                      <w:color w:val="000000"/>
                      <w:sz w:val="24"/>
                    </w:rPr>
                    <w:t>сомольская, 73</w:t>
                  </w:r>
                </w:p>
                <w:p w14:paraId="3B000000">
                  <w:pPr>
                    <w:spacing w:after="0" w:before="0" w:line="240" w:lineRule="auto"/>
                    <w:ind w:firstLine="0" w:right="-6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ИНН 2634012465, КПП 263401001,</w:t>
                  </w:r>
                </w:p>
                <w:p w14:paraId="3C000000">
                  <w:pPr>
                    <w:spacing w:after="0" w:before="0" w:line="240" w:lineRule="auto"/>
                    <w:ind w:firstLine="0" w:right="-6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л/сч </w:t>
                  </w:r>
                  <w:r>
                    <w:rPr>
                      <w:sz w:val="24"/>
                    </w:rPr>
                    <w:t xml:space="preserve">075.70.128.8 </w:t>
                  </w:r>
                  <w:r>
                    <w:rPr>
                      <w:color w:val="000000"/>
                      <w:sz w:val="24"/>
                    </w:rPr>
                    <w:t>(открытый в министерстве финансов Ставропольского края)</w:t>
                  </w:r>
                </w:p>
                <w:p w14:paraId="3D000000">
                  <w:pPr>
                    <w:spacing w:after="0" w:before="0" w:line="240" w:lineRule="auto"/>
                    <w:ind w:firstLine="0" w:right="-6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Единый казначейский счет: 40102810345370000013</w:t>
                  </w:r>
                </w:p>
                <w:p w14:paraId="3E000000">
                  <w:pPr>
                    <w:spacing w:after="0" w:before="0" w:line="240" w:lineRule="auto"/>
                    <w:ind w:firstLine="0" w:right="-6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Казначейский счет: 03224643070000002101</w:t>
                  </w:r>
                </w:p>
                <w:p w14:paraId="3F000000">
                  <w:pPr>
                    <w:spacing w:after="0" w:before="0" w:line="240" w:lineRule="auto"/>
                    <w:ind w:firstLine="0" w:right="-6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Банк: ОТДЕЛЕНИЕ СТАВРОПОЛЬ БАНКА РОССИИ//УФК по Ставропольскому краю                     г. Ставрополь, БИК 010702101, ОГРН 1022601974757, ОКТМО 07701000001</w:t>
                  </w:r>
                </w:p>
                <w:p w14:paraId="40000000">
                  <w:pPr>
                    <w:spacing w:line="240" w:lineRule="auto"/>
                    <w:ind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E-mail: </w:t>
                  </w:r>
                  <w:r>
                    <w:rPr>
                      <w:color w:val="000000"/>
                    </w:rPr>
                    <w:fldChar w:fldCharType="begin"/>
                  </w:r>
                  <w:r>
                    <w:rPr>
                      <w:color w:val="000000"/>
                    </w:rPr>
                    <w:instrText>HYPERLINK "mailto:sst@mosk.stavregion.ru"</w:instrText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color w:val="000000"/>
                    </w:rPr>
                    <w:t>sst@mosk.stavregion.ru</w:t>
                  </w:r>
                  <w:r>
                    <w:rPr>
                      <w:color w:val="000000"/>
                    </w:rPr>
                    <w:fldChar w:fldCharType="end"/>
                  </w:r>
                </w:p>
                <w:p w14:paraId="41000000">
                  <w:pPr>
                    <w:pStyle w:val="Style_11"/>
                    <w:tabs>
                      <w:tab w:leader="none" w:pos="5914" w:val="left"/>
                    </w:tabs>
                    <w:ind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Телефон: 8-8652-22-58-01</w:t>
                  </w:r>
                </w:p>
              </w:tc>
            </w:tr>
            <w:tr>
              <w:tc>
                <w:tcPr>
                  <w:tcW w:type="dxa" w:w="5670"/>
                </w:tcPr>
                <w:p w14:paraId="42000000">
                  <w:pPr>
                    <w:spacing w:after="0" w:before="0" w:line="240" w:lineRule="auto"/>
                    <w:ind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_____________/В.А.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Семилетов/</w:t>
                  </w:r>
                </w:p>
              </w:tc>
            </w:tr>
          </w:tbl>
          <w:p w14:paraId="43000000"/>
        </w:tc>
        <w:tc>
          <w:tcPr>
            <w:tcW w:type="dxa" w:w="4701"/>
          </w:tcPr>
          <w:p w14:paraId="44000000">
            <w:pPr>
              <w:spacing w:after="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                Подрядчик:</w:t>
            </w:r>
          </w:p>
          <w:p w14:paraId="45000000">
            <w:pPr>
              <w:spacing w:after="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6216"/>
          </w:tcPr>
          <w:p/>
        </w:tc>
        <w:tc>
          <w:tcPr>
            <w:tcW w:type="dxa" w:w="4701"/>
          </w:tcPr>
          <w:p w14:paraId="46000000">
            <w:pPr>
              <w:pStyle w:val="Style_10"/>
              <w:keepNext w:val="1"/>
              <w:spacing w:after="0" w:before="0" w:line="240" w:lineRule="auto"/>
              <w:ind/>
              <w:jc w:val="left"/>
              <w:rPr>
                <w:sz w:val="24"/>
              </w:rPr>
            </w:pPr>
          </w:p>
        </w:tc>
      </w:tr>
    </w:tbl>
    <w:p w14:paraId="47000000"/>
    <w:p w14:paraId="48000000"/>
    <w:p w14:paraId="49000000"/>
    <w:p w14:paraId="4A000000"/>
    <w:p w14:paraId="4B000000"/>
    <w:p w14:paraId="4C000000"/>
    <w:p w14:paraId="4D000000"/>
    <w:p w14:paraId="4E000000"/>
    <w:p w14:paraId="4F000000"/>
    <w:p w14:paraId="50000000"/>
    <w:p w14:paraId="51000000"/>
    <w:p w14:paraId="52000000"/>
    <w:p w14:paraId="53000000"/>
    <w:p w14:paraId="54000000"/>
    <w:p w14:paraId="55000000"/>
    <w:p w14:paraId="56000000"/>
    <w:p w14:paraId="57000000"/>
    <w:p w14:paraId="58000000"/>
    <w:p w14:paraId="59000000"/>
    <w:p w14:paraId="5A000000"/>
    <w:p w14:paraId="5B000000"/>
    <w:p w14:paraId="5C000000"/>
    <w:p w14:paraId="5D000000"/>
    <w:p w14:paraId="5E000000"/>
    <w:p w14:paraId="5F000000"/>
    <w:p w14:paraId="60000000"/>
    <w:p w14:paraId="61000000"/>
    <w:p w14:paraId="62000000"/>
    <w:p w14:paraId="63000000"/>
    <w:p w14:paraId="64000000"/>
    <w:p w14:paraId="65000000"/>
    <w:p w14:paraId="66000000">
      <w:r>
        <w:rPr>
          <w:rFonts w:ascii="Times New Roman" w:hAnsi="Times New Roman"/>
          <w:sz w:val="22"/>
        </w:rPr>
        <w:t>Приложение №1  к договору  № ___ от __.__.2023</w:t>
      </w:r>
    </w:p>
    <w:p w14:paraId="67000000"/>
    <w:p w14:paraId="68000000">
      <w:r>
        <w:rPr>
          <w:rFonts w:ascii="Times New Roman" w:hAnsi="Times New Roman"/>
          <w:b w:val="1"/>
          <w:sz w:val="18"/>
        </w:rPr>
        <w:t>Спецификация на поставку товара</w:t>
      </w:r>
    </w:p>
    <w:p w14:paraId="69000000">
      <w:r>
        <w:t xml:space="preserve">                                    </w:t>
      </w: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6"/>
        <w:gridCol w:w="2347"/>
        <w:gridCol w:w="1493"/>
        <w:gridCol w:w="1607"/>
        <w:gridCol w:w="1607"/>
        <w:gridCol w:w="1721"/>
      </w:tblGrid>
      <w:tr>
        <w:trPr>
          <w:trHeight w:hRule="atLeast" w:val="36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r>
              <w:t>№</w:t>
            </w:r>
          </w:p>
        </w:tc>
        <w:tc>
          <w:tcPr>
            <w:tcW w:type="dxa" w:w="2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r>
              <w:t>1</w:t>
            </w:r>
          </w:p>
        </w:tc>
        <w:tc>
          <w:tcPr>
            <w:tcW w:type="dxa" w:w="2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ind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Сплит-система CENTEK CT-65E12 настенная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шт.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r>
              <w:t>1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r>
              <w:t>27000,00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27 000,00</w:t>
            </w:r>
          </w:p>
        </w:tc>
      </w:tr>
      <w:tr>
        <w:trPr>
          <w:trHeight w:hRule="atLeast" w:val="36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r>
              <w:t>2</w:t>
            </w:r>
          </w:p>
        </w:tc>
        <w:tc>
          <w:tcPr>
            <w:tcW w:type="dxa" w:w="2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ind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Сплит-система CENTEK CT-65E18 настенная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шт.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r>
              <w:t>3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r>
              <w:t>35000,0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r>
              <w:t>105 000,00</w:t>
            </w:r>
          </w:p>
        </w:tc>
      </w:tr>
      <w:tr>
        <w:trPr>
          <w:trHeight w:hRule="atLeast" w:val="36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r>
              <w:t>3</w:t>
            </w:r>
          </w:p>
        </w:tc>
        <w:tc>
          <w:tcPr>
            <w:tcW w:type="dxa" w:w="2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ind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Сплит-система CENTEK CT-65E24 настенная</w:t>
            </w:r>
          </w:p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шт.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r>
              <w:t>6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r>
              <w:t>50000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r>
              <w:t>300 000,00</w:t>
            </w:r>
          </w:p>
        </w:tc>
      </w:tr>
      <w:tr>
        <w:trPr>
          <w:trHeight w:hRule="atLeast" w:val="360"/>
        </w:trPr>
        <w:tc>
          <w:tcPr>
            <w:tcW w:type="dxa" w:w="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r>
              <w:t>Итог:</w:t>
            </w:r>
          </w:p>
        </w:tc>
        <w:tc>
          <w:tcPr>
            <w:tcW w:type="dxa" w:w="17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r>
              <w:t>423 000,00</w:t>
            </w:r>
          </w:p>
        </w:tc>
      </w:tr>
    </w:tbl>
    <w:p w14:paraId="7F000000">
      <w:r>
        <w:t xml:space="preserve">                                             </w:t>
      </w:r>
    </w:p>
    <w:p w14:paraId="80000000"/>
    <w:p w14:paraId="81000000"/>
    <w:p w14:paraId="82000000"/>
    <w:p w14:paraId="83000000">
      <w:r>
        <w:t>Поставщик ____________                                                     Заказчик____________</w:t>
      </w:r>
      <w:r>
        <w:t xml:space="preserve">В.А. </w:t>
      </w:r>
      <w:r>
        <w:t xml:space="preserve">Семилетов </w:t>
      </w:r>
    </w:p>
    <w:p w14:paraId="84000000">
      <w:r>
        <w:t xml:space="preserve">              </w:t>
      </w:r>
    </w:p>
    <w:p w14:paraId="85000000">
      <w:pPr>
        <w:keepNext w:val="1"/>
        <w:keepLines w:val="1"/>
        <w:ind w:firstLine="0"/>
      </w:pPr>
    </w:p>
    <w:sectPr>
      <w:footerReference r:id="rId3" w:type="first"/>
      <w:footerReference r:id="rId6" w:type="default"/>
      <w:pgSz w:h="16848" w:orient="portrait" w:w="11908"/>
      <w:pgMar w:bottom="1701" w:footer="348" w:gutter="0" w:header="720" w:left="1134" w:right="1134" w:top="425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pStyle w:val="Style_2"/>
    </w:pPr>
    <w:r>
      <w:t xml:space="preserve">страница </w:t>
    </w:r>
    <w:r>
      <w:fldChar w:dirty="1"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t xml:space="preserve"> из </w:t>
    </w:r>
    <w:r>
      <w:t>3</w:t>
    </w:r>
  </w:p>
</w:ftr>
</file>

<file path=word/footer3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2"/>
    </w:pPr>
    <w:r>
      <w:t xml:space="preserve">страница </w:t>
    </w:r>
    <w:r>
      <w:fldChar w:dirty="1"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t xml:space="preserve"> из </w:t>
    </w:r>
    <w:r>
      <w:t>2</w:t>
    </w:r>
  </w:p>
</w:ftr>
</file>

<file path=word/footer5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5000000">
    <w:pPr>
      <w:pStyle w:val="Style_2"/>
    </w:pPr>
    <w:r>
      <w:t xml:space="preserve">страница </w:t>
    </w:r>
    <w:r>
      <w:fldChar w:dirty="1"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t xml:space="preserve"> из </w:t>
    </w:r>
    <w:r>
      <w:t>1</w:t>
    </w:r>
  </w:p>
</w:ftr>
</file>

<file path=word/footer6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6000000">
    <w:pPr>
      <w:pStyle w:val="Style_2"/>
    </w:pPr>
    <w:r>
      <w:t xml:space="preserve">страница </w:t>
    </w:r>
    <w:r>
      <w:fldChar w:dirty="1"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t xml:space="preserve"> из </w:t>
    </w:r>
    <w:r>
      <w:t>2</w:t>
    </w:r>
  </w:p>
</w:ftr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hdr>
</file>

<file path=word/header4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4000000"/>
</w:hdr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6"/>
      <w:lvlText w:val="%1."/>
      <w:lvlJc w:val="left"/>
    </w:lvl>
    <w:lvl w:ilvl="1">
      <w:start w:val="1"/>
      <w:numFmt w:val="decimal"/>
      <w:pStyle w:val="Style_5"/>
      <w:lvlText w:val="%1.%2."/>
      <w:lvlJc w:val="left"/>
    </w:lvl>
    <w:lvl w:ilvl="2">
      <w:start w:val="1"/>
      <w:numFmt w:val="decimal"/>
      <w:pStyle w:val="Style_8"/>
      <w:lvlText w:val="%1.%2.%3."/>
      <w:lvlJc w:val="left"/>
    </w:lvl>
    <w:lvl w:ilvl="3">
      <w:start w:val="1"/>
      <w:numFmt w:val="decimal"/>
      <w:pStyle w:val="Style_51"/>
      <w:lvlText w:val="%1.%2.%3.%4."/>
      <w:lvlJc w:val="left"/>
    </w:lvl>
    <w:lvl w:ilvl="4">
      <w:start w:val="1"/>
      <w:numFmt w:val="decimal"/>
      <w:pStyle w:val="Style_33"/>
      <w:lvlText w:val="%1.%2.%3.%4.%5."/>
      <w:lvlJc w:val="left"/>
    </w:lvl>
    <w:lvl w:ilvl="5">
      <w:start w:val="1"/>
      <w:numFmt w:val="decimal"/>
      <w:pStyle w:val="Style_55"/>
      <w:lvlText w:val="%1.%2.%3.%4.%5.%6."/>
      <w:lvlJc w:val="left"/>
    </w:lvl>
    <w:lvl w:ilvl="6">
      <w:start w:val="1"/>
      <w:numFmt w:val="decimal"/>
      <w:pStyle w:val="Style_17"/>
      <w:lvlText w:val="%1.%2.%3.%4.%5.%6.%7."/>
      <w:lvlJc w:val="left"/>
    </w:lvl>
    <w:lvl w:ilvl="7">
      <w:start w:val="1"/>
      <w:numFmt w:val="decimal"/>
      <w:pStyle w:val="Style_37"/>
      <w:lvlText w:val="%1.%2.%3.%4.%5.%6.%7.%8."/>
      <w:lvlJc w:val="left"/>
    </w:lvl>
    <w:lvl w:ilvl="8">
      <w:start w:val="1"/>
      <w:numFmt w:val="decimal"/>
      <w:pStyle w:val="Style_24"/>
      <w:lvlText w:val="%1.%2.%3.%4.%5.%6.%7.%8.%9."/>
      <w:lvlJc w:val="left"/>
    </w:lvl>
  </w:abstractNum>
  <w:num w:numId="1">
    <w:abstractNumId w:val="0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pPr>
      <w:spacing w:after="120" w:before="120" w:line="276" w:lineRule="auto"/>
      <w:ind w:firstLine="482"/>
      <w:jc w:val="both"/>
    </w:pPr>
    <w:rPr>
      <w:sz w:val="22"/>
    </w:rPr>
  </w:style>
  <w:style w:default="1" w:styleId="Style_12_ch" w:type="character">
    <w:name w:val="Normal"/>
    <w:link w:val="Style_12"/>
    <w:rPr>
      <w:sz w:val="22"/>
    </w:rPr>
  </w:style>
  <w:style w:styleId="Style_13" w:type="paragraph">
    <w:name w:val="toc 2"/>
    <w:next w:val="Style_12"/>
    <w:link w:val="Style_13_ch"/>
    <w:uiPriority w:val="39"/>
    <w:pPr>
      <w:ind w:firstLine="0" w:left="200"/>
    </w:pPr>
  </w:style>
  <w:style w:styleId="Style_13_ch" w:type="character">
    <w:name w:val="toc 2"/>
    <w:link w:val="Style_13"/>
  </w:style>
  <w:style w:styleId="Style_14" w:type="paragraph">
    <w:name w:val="Subtle Reference"/>
    <w:link w:val="Style_14_ch"/>
    <w:rPr>
      <w:smallCaps w:val="1"/>
      <w:color w:val="C0504D"/>
      <w:u w:val="single"/>
    </w:rPr>
  </w:style>
  <w:style w:styleId="Style_14_ch" w:type="character">
    <w:name w:val="Subtle Reference"/>
    <w:link w:val="Style_14"/>
    <w:rPr>
      <w:smallCaps w:val="1"/>
      <w:color w:val="C0504D"/>
      <w:u w:val="single"/>
    </w:rPr>
  </w:style>
  <w:style w:styleId="Style_15" w:type="paragraph">
    <w:name w:val="Book Title"/>
    <w:link w:val="Style_15_ch"/>
    <w:rPr>
      <w:b w:val="1"/>
      <w:smallCaps w:val="1"/>
      <w:spacing w:val="5"/>
    </w:rPr>
  </w:style>
  <w:style w:styleId="Style_15_ch" w:type="character">
    <w:name w:val="Book Title"/>
    <w:link w:val="Style_15"/>
    <w:rPr>
      <w:b w:val="1"/>
      <w:smallCaps w:val="1"/>
      <w:spacing w:val="5"/>
    </w:rPr>
  </w:style>
  <w:style w:styleId="Style_16" w:type="paragraph">
    <w:name w:val="toc 4"/>
    <w:next w:val="Style_12"/>
    <w:link w:val="Style_16_ch"/>
    <w:uiPriority w:val="39"/>
    <w:pPr>
      <w:ind w:firstLine="0" w:left="600"/>
    </w:pPr>
  </w:style>
  <w:style w:styleId="Style_16_ch" w:type="character">
    <w:name w:val="toc 4"/>
    <w:link w:val="Style_16"/>
  </w:style>
  <w:style w:styleId="Style_17" w:type="paragraph">
    <w:name w:val="heading 7"/>
    <w:basedOn w:val="Style_12"/>
    <w:next w:val="Style_12"/>
    <w:link w:val="Style_17_ch"/>
    <w:uiPriority w:val="9"/>
    <w:qFormat/>
    <w:pPr>
      <w:keepNext w:val="1"/>
      <w:keepLines w:val="1"/>
      <w:numPr>
        <w:ilvl w:val="6"/>
        <w:numId w:val="1"/>
      </w:numPr>
      <w:spacing w:after="0" w:before="200"/>
      <w:ind w:firstLine="482" w:left="0"/>
      <w:outlineLvl w:val="6"/>
    </w:pPr>
    <w:rPr>
      <w:i w:val="1"/>
      <w:color w:val="404040"/>
      <w:sz w:val="20"/>
    </w:rPr>
  </w:style>
  <w:style w:styleId="Style_17_ch" w:type="character">
    <w:name w:val="heading 7"/>
    <w:basedOn w:val="Style_12_ch"/>
    <w:link w:val="Style_17"/>
    <w:rPr>
      <w:i w:val="1"/>
      <w:color w:val="404040"/>
      <w:sz w:val="20"/>
    </w:rPr>
  </w:style>
  <w:style w:styleId="Style_18" w:type="paragraph">
    <w:name w:val="toc 6"/>
    <w:next w:val="Style_12"/>
    <w:link w:val="Style_18_ch"/>
    <w:uiPriority w:val="39"/>
    <w:pPr>
      <w:ind w:firstLine="0" w:left="1000"/>
    </w:pPr>
  </w:style>
  <w:style w:styleId="Style_18_ch" w:type="character">
    <w:name w:val="toc 6"/>
    <w:link w:val="Style_18"/>
  </w:style>
  <w:style w:styleId="Style_19" w:type="paragraph">
    <w:name w:val="heading 1 normal"/>
    <w:basedOn w:val="Style_12"/>
    <w:next w:val="Style_12"/>
    <w:link w:val="Style_19_ch"/>
    <w:pPr>
      <w:numPr>
        <w:numId w:val="1"/>
      </w:numPr>
      <w:spacing w:after="120" w:before="120"/>
      <w:ind w:firstLine="482" w:left="0"/>
      <w:jc w:val="both"/>
      <w:outlineLvl w:val="0"/>
    </w:pPr>
    <w:rPr>
      <w:rFonts w:ascii="Times New Roman" w:hAnsi="Times New Roman"/>
      <w:sz w:val="22"/>
    </w:rPr>
  </w:style>
  <w:style w:styleId="Style_19_ch" w:type="character">
    <w:name w:val="heading 1 normal"/>
    <w:basedOn w:val="Style_12_ch"/>
    <w:link w:val="Style_19"/>
    <w:rPr>
      <w:rFonts w:ascii="Times New Roman" w:hAnsi="Times New Roman"/>
      <w:sz w:val="22"/>
    </w:rPr>
  </w:style>
  <w:style w:styleId="Style_20" w:type="paragraph">
    <w:name w:val="toc 7"/>
    <w:next w:val="Style_12"/>
    <w:link w:val="Style_20_ch"/>
    <w:uiPriority w:val="39"/>
    <w:pPr>
      <w:ind w:firstLine="0" w:left="1200"/>
    </w:pPr>
  </w:style>
  <w:style w:styleId="Style_20_ch" w:type="character">
    <w:name w:val="toc 7"/>
    <w:link w:val="Style_20"/>
  </w:style>
  <w:style w:styleId="Style_8" w:type="paragraph">
    <w:name w:val="heading 3"/>
    <w:basedOn w:val="Style_12"/>
    <w:next w:val="Style_12"/>
    <w:link w:val="Style_8_ch"/>
    <w:uiPriority w:val="9"/>
    <w:qFormat/>
    <w:pPr>
      <w:numPr>
        <w:ilvl w:val="2"/>
        <w:numId w:val="1"/>
      </w:numPr>
      <w:ind w:firstLine="482" w:left="0"/>
      <w:outlineLvl w:val="2"/>
    </w:pPr>
    <w:rPr>
      <w:sz w:val="20"/>
    </w:rPr>
  </w:style>
  <w:style w:styleId="Style_8_ch" w:type="character">
    <w:name w:val="heading 3"/>
    <w:basedOn w:val="Style_12_ch"/>
    <w:link w:val="Style_8"/>
    <w:rPr>
      <w:sz w:val="20"/>
    </w:rPr>
  </w:style>
  <w:style w:styleId="Style_21" w:type="paragraph">
    <w:name w:val="footnote reference"/>
    <w:link w:val="Style_21_ch"/>
    <w:rPr>
      <w:vertAlign w:val="superscript"/>
    </w:rPr>
  </w:style>
  <w:style w:styleId="Style_21_ch" w:type="character">
    <w:name w:val="footnote reference"/>
    <w:link w:val="Style_21"/>
    <w:rPr>
      <w:vertAlign w:val="superscript"/>
    </w:rPr>
  </w:style>
  <w:style w:styleId="Style_22" w:type="paragraph">
    <w:name w:val="caption"/>
    <w:basedOn w:val="Style_12"/>
    <w:next w:val="Style_12"/>
    <w:link w:val="Style_22_ch"/>
    <w:pPr>
      <w:spacing w:line="240" w:lineRule="auto"/>
      <w:ind/>
    </w:pPr>
    <w:rPr>
      <w:b w:val="1"/>
      <w:color w:val="4F81BD"/>
      <w:sz w:val="18"/>
    </w:rPr>
  </w:style>
  <w:style w:styleId="Style_22_ch" w:type="character">
    <w:name w:val="caption"/>
    <w:basedOn w:val="Style_12_ch"/>
    <w:link w:val="Style_22"/>
    <w:rPr>
      <w:b w:val="1"/>
      <w:color w:val="4F81BD"/>
      <w:sz w:val="18"/>
    </w:rPr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heading 9"/>
    <w:basedOn w:val="Style_12"/>
    <w:next w:val="Style_12"/>
    <w:link w:val="Style_24_ch"/>
    <w:uiPriority w:val="9"/>
    <w:qFormat/>
    <w:pPr>
      <w:keepNext w:val="1"/>
      <w:keepLines w:val="1"/>
      <w:numPr>
        <w:ilvl w:val="8"/>
        <w:numId w:val="1"/>
      </w:numPr>
      <w:spacing w:after="0" w:before="200"/>
      <w:ind w:firstLine="482" w:left="0"/>
      <w:outlineLvl w:val="8"/>
    </w:pPr>
    <w:rPr>
      <w:i w:val="1"/>
      <w:color w:val="404040"/>
      <w:sz w:val="20"/>
    </w:rPr>
  </w:style>
  <w:style w:styleId="Style_24_ch" w:type="character">
    <w:name w:val="heading 9"/>
    <w:basedOn w:val="Style_12_ch"/>
    <w:link w:val="Style_24"/>
    <w:rPr>
      <w:i w:val="1"/>
      <w:color w:val="404040"/>
      <w:sz w:val="20"/>
    </w:rPr>
  </w:style>
  <w:style w:styleId="Style_25" w:type="paragraph">
    <w:name w:val="TOC Heading"/>
    <w:basedOn w:val="Style_6"/>
    <w:next w:val="Style_12"/>
    <w:link w:val="Style_25_ch"/>
    <w:pPr>
      <w:ind/>
      <w:outlineLvl w:val="8"/>
    </w:pPr>
  </w:style>
  <w:style w:styleId="Style_25_ch" w:type="character">
    <w:name w:val="TOC Heading"/>
    <w:basedOn w:val="Style_6_ch"/>
    <w:link w:val="Style_25"/>
  </w:style>
  <w:style w:styleId="Style_26" w:type="paragraph">
    <w:name w:val="Subtle Emphasis"/>
    <w:link w:val="Style_26_ch"/>
    <w:rPr>
      <w:i w:val="1"/>
      <w:color w:val="808080"/>
    </w:rPr>
  </w:style>
  <w:style w:styleId="Style_26_ch" w:type="character">
    <w:name w:val="Subtle Emphasis"/>
    <w:link w:val="Style_26"/>
    <w:rPr>
      <w:i w:val="1"/>
      <w:color w:val="808080"/>
    </w:rPr>
  </w:style>
  <w:style w:styleId="Style_27" w:type="paragraph">
    <w:name w:val="DeletedPlaceholder"/>
    <w:basedOn w:val="Style_12"/>
    <w:next w:val="Style_12"/>
    <w:link w:val="Style_27_ch"/>
    <w:pPr>
      <w:spacing w:after="0" w:before="120"/>
      <w:ind w:firstLine="0" w:left="964"/>
    </w:pPr>
    <w:rPr>
      <w:i w:val="1"/>
      <w:color w:val="FF3F1F"/>
      <w:sz w:val="20"/>
    </w:rPr>
  </w:style>
  <w:style w:styleId="Style_27_ch" w:type="character">
    <w:name w:val="DeletedPlaceholder"/>
    <w:basedOn w:val="Style_12_ch"/>
    <w:link w:val="Style_27"/>
    <w:rPr>
      <w:i w:val="1"/>
      <w:color w:val="FF3F1F"/>
      <w:sz w:val="20"/>
    </w:rPr>
  </w:style>
  <w:style w:styleId="Style_7" w:type="paragraph">
    <w:name w:val="List Paragraph"/>
    <w:basedOn w:val="Style_12"/>
    <w:link w:val="Style_7_ch"/>
    <w:pPr>
      <w:ind/>
      <w:contextualSpacing w:val="1"/>
      <w:jc w:val="left"/>
    </w:pPr>
  </w:style>
  <w:style w:styleId="Style_7_ch" w:type="character">
    <w:name w:val="List Paragraph"/>
    <w:basedOn w:val="Style_12_ch"/>
    <w:link w:val="Style_7"/>
  </w:style>
  <w:style w:styleId="Style_10" w:type="paragraph">
    <w:name w:val="Normal unindented"/>
    <w:link w:val="Style_10_ch"/>
    <w:pPr>
      <w:spacing w:after="120" w:before="120" w:line="276" w:lineRule="auto"/>
      <w:ind/>
      <w:jc w:val="both"/>
    </w:pPr>
    <w:rPr>
      <w:sz w:val="22"/>
    </w:rPr>
  </w:style>
  <w:style w:styleId="Style_10_ch" w:type="character">
    <w:name w:val="Normal unindented"/>
    <w:link w:val="Style_10"/>
    <w:rPr>
      <w:sz w:val="22"/>
    </w:rPr>
  </w:style>
  <w:style w:styleId="Style_28" w:type="paragraph">
    <w:name w:val="list footnote text"/>
    <w:basedOn w:val="Style_7"/>
    <w:link w:val="Style_28_ch"/>
    <w:pPr>
      <w:spacing w:line="216" w:lineRule="auto"/>
      <w:ind/>
    </w:pPr>
    <w:rPr>
      <w:sz w:val="20"/>
    </w:rPr>
  </w:style>
  <w:style w:styleId="Style_28_ch" w:type="character">
    <w:name w:val="list footnote text"/>
    <w:basedOn w:val="Style_7_ch"/>
    <w:link w:val="Style_28"/>
    <w:rPr>
      <w:sz w:val="20"/>
    </w:rPr>
  </w:style>
  <w:style w:styleId="Style_2" w:type="paragraph">
    <w:name w:val="footer"/>
    <w:basedOn w:val="Style_12"/>
    <w:link w:val="Style_2_ch"/>
    <w:pPr>
      <w:tabs>
        <w:tab w:leader="none" w:pos="4677" w:val="center"/>
        <w:tab w:leader="none" w:pos="9355" w:val="right"/>
      </w:tabs>
      <w:spacing w:after="0" w:before="0" w:line="240" w:lineRule="auto"/>
      <w:ind/>
      <w:jc w:val="center"/>
    </w:pPr>
    <w:rPr>
      <w:sz w:val="16"/>
    </w:rPr>
  </w:style>
  <w:style w:styleId="Style_2_ch" w:type="character">
    <w:name w:val="footer"/>
    <w:basedOn w:val="Style_12_ch"/>
    <w:link w:val="Style_2"/>
    <w:rPr>
      <w:sz w:val="16"/>
    </w:rPr>
  </w:style>
  <w:style w:styleId="Style_29" w:type="paragraph">
    <w:name w:val="No Spacing"/>
    <w:link w:val="Style_29_ch"/>
    <w:rPr>
      <w:sz w:val="22"/>
    </w:rPr>
  </w:style>
  <w:style w:styleId="Style_29_ch" w:type="character">
    <w:name w:val="No Spacing"/>
    <w:link w:val="Style_29"/>
    <w:rPr>
      <w:sz w:val="22"/>
    </w:rPr>
  </w:style>
  <w:style w:styleId="Style_30" w:type="paragraph">
    <w:name w:val="toc 3"/>
    <w:next w:val="Style_12"/>
    <w:link w:val="Style_30_ch"/>
    <w:uiPriority w:val="39"/>
    <w:pPr>
      <w:ind w:firstLine="0" w:left="400"/>
    </w:pPr>
  </w:style>
  <w:style w:styleId="Style_30_ch" w:type="character">
    <w:name w:val="toc 3"/>
    <w:link w:val="Style_30"/>
  </w:style>
  <w:style w:styleId="Style_31" w:type="paragraph">
    <w:name w:val="heading 1 normal unnumbered"/>
    <w:basedOn w:val="Style_12"/>
    <w:next w:val="Style_12"/>
    <w:link w:val="Style_31_ch"/>
    <w:pPr>
      <w:spacing w:after="120" w:before="120"/>
      <w:ind w:firstLine="482"/>
      <w:jc w:val="both"/>
      <w:outlineLvl w:val="0"/>
    </w:pPr>
    <w:rPr>
      <w:rFonts w:ascii="Times New Roman" w:hAnsi="Times New Roman"/>
      <w:sz w:val="22"/>
    </w:rPr>
  </w:style>
  <w:style w:styleId="Style_31_ch" w:type="character">
    <w:name w:val="heading 1 normal unnumbered"/>
    <w:basedOn w:val="Style_12_ch"/>
    <w:link w:val="Style_31"/>
    <w:rPr>
      <w:rFonts w:ascii="Times New Roman" w:hAnsi="Times New Roman"/>
      <w:sz w:val="22"/>
    </w:rPr>
  </w:style>
  <w:style w:styleId="Style_32" w:type="paragraph">
    <w:name w:val="Intense Reference"/>
    <w:link w:val="Style_32_ch"/>
    <w:rPr>
      <w:b w:val="1"/>
      <w:smallCaps w:val="1"/>
      <w:color w:val="C0504D"/>
      <w:spacing w:val="5"/>
      <w:u w:val="single"/>
    </w:rPr>
  </w:style>
  <w:style w:styleId="Style_32_ch" w:type="character">
    <w:name w:val="Intense Reference"/>
    <w:link w:val="Style_32"/>
    <w:rPr>
      <w:b w:val="1"/>
      <w:smallCaps w:val="1"/>
      <w:color w:val="C0504D"/>
      <w:spacing w:val="5"/>
      <w:u w:val="single"/>
    </w:rPr>
  </w:style>
  <w:style w:styleId="Style_4" w:type="paragraph">
    <w:name w:val="Normal (Web)"/>
    <w:basedOn w:val="Style_12"/>
    <w:link w:val="Style_4_ch"/>
    <w:pPr>
      <w:spacing w:afterAutospacing="on" w:beforeAutospacing="on" w:line="240" w:lineRule="auto"/>
      <w:ind w:firstLine="0"/>
      <w:jc w:val="left"/>
    </w:pPr>
    <w:rPr>
      <w:sz w:val="24"/>
    </w:rPr>
  </w:style>
  <w:style w:styleId="Style_4_ch" w:type="character">
    <w:name w:val="Normal (Web)"/>
    <w:basedOn w:val="Style_12_ch"/>
    <w:link w:val="Style_4"/>
    <w:rPr>
      <w:sz w:val="24"/>
    </w:rPr>
  </w:style>
  <w:style w:styleId="Style_33" w:type="paragraph">
    <w:name w:val="heading 5"/>
    <w:basedOn w:val="Style_12"/>
    <w:next w:val="Style_12"/>
    <w:link w:val="Style_33_ch"/>
    <w:uiPriority w:val="9"/>
    <w:qFormat/>
    <w:pPr>
      <w:keepNext w:val="1"/>
      <w:keepLines w:val="1"/>
      <w:numPr>
        <w:ilvl w:val="4"/>
        <w:numId w:val="1"/>
      </w:numPr>
      <w:spacing w:after="0" w:before="200"/>
      <w:ind w:firstLine="482" w:left="0"/>
      <w:outlineLvl w:val="4"/>
    </w:pPr>
    <w:rPr>
      <w:sz w:val="20"/>
    </w:rPr>
  </w:style>
  <w:style w:styleId="Style_33_ch" w:type="character">
    <w:name w:val="heading 5"/>
    <w:basedOn w:val="Style_12_ch"/>
    <w:link w:val="Style_33"/>
    <w:rPr>
      <w:sz w:val="20"/>
    </w:rPr>
  </w:style>
  <w:style w:styleId="Style_34" w:type="paragraph">
    <w:name w:val="Intense Quote"/>
    <w:basedOn w:val="Style_12"/>
    <w:next w:val="Style_12"/>
    <w:link w:val="Style_34_ch"/>
    <w:pPr>
      <w:spacing w:after="0" w:before="200"/>
      <w:ind w:firstLine="0" w:left="936" w:right="936"/>
    </w:pPr>
    <w:rPr>
      <w:b w:val="1"/>
      <w:i w:val="1"/>
      <w:color w:val="4F81BD"/>
      <w:sz w:val="20"/>
    </w:rPr>
  </w:style>
  <w:style w:styleId="Style_34_ch" w:type="character">
    <w:name w:val="Intense Quote"/>
    <w:basedOn w:val="Style_12_ch"/>
    <w:link w:val="Style_34"/>
    <w:rPr>
      <w:b w:val="1"/>
      <w:i w:val="1"/>
      <w:color w:val="4F81BD"/>
      <w:sz w:val="20"/>
    </w:rPr>
  </w:style>
  <w:style w:styleId="Style_6" w:type="paragraph">
    <w:name w:val="heading 1"/>
    <w:basedOn w:val="Style_12"/>
    <w:next w:val="Style_12"/>
    <w:link w:val="Style_6_ch"/>
    <w:uiPriority w:val="9"/>
    <w:qFormat/>
    <w:pPr>
      <w:keepNext w:val="1"/>
      <w:keepLines w:val="1"/>
      <w:numPr>
        <w:numId w:val="1"/>
      </w:numPr>
      <w:spacing w:before="240"/>
      <w:ind w:firstLine="0" w:left="0"/>
      <w:jc w:val="center"/>
      <w:outlineLvl w:val="0"/>
    </w:pPr>
    <w:rPr>
      <w:b w:val="1"/>
      <w:sz w:val="24"/>
    </w:rPr>
  </w:style>
  <w:style w:styleId="Style_6_ch" w:type="character">
    <w:name w:val="heading 1"/>
    <w:basedOn w:val="Style_12_ch"/>
    <w:link w:val="Style_6"/>
    <w:rPr>
      <w:b w:val="1"/>
      <w:sz w:val="24"/>
    </w:rPr>
  </w:style>
  <w:style w:styleId="Style_1" w:type="paragraph">
    <w:name w:val="header"/>
    <w:basedOn w:val="Style_12"/>
    <w:link w:val="Style_1_ch"/>
    <w:pPr>
      <w:tabs>
        <w:tab w:leader="none" w:pos="4677" w:val="center"/>
        <w:tab w:leader="none" w:pos="9355" w:val="right"/>
      </w:tabs>
      <w:spacing w:after="0" w:before="0" w:line="240" w:lineRule="auto"/>
      <w:ind/>
      <w:jc w:val="center"/>
    </w:pPr>
    <w:rPr>
      <w:sz w:val="16"/>
    </w:rPr>
  </w:style>
  <w:style w:styleId="Style_1_ch" w:type="character">
    <w:name w:val="header"/>
    <w:basedOn w:val="Style_12_ch"/>
    <w:link w:val="Style_1"/>
    <w:rPr>
      <w:sz w:val="16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basedOn w:val="Style_12"/>
    <w:link w:val="Style_36_ch"/>
    <w:pPr>
      <w:spacing w:line="216" w:lineRule="auto"/>
      <w:ind/>
    </w:pPr>
    <w:rPr>
      <w:sz w:val="20"/>
    </w:rPr>
  </w:style>
  <w:style w:styleId="Style_36_ch" w:type="character">
    <w:name w:val="Footnote"/>
    <w:basedOn w:val="Style_12_ch"/>
    <w:link w:val="Style_36"/>
    <w:rPr>
      <w:sz w:val="20"/>
    </w:rPr>
  </w:style>
  <w:style w:styleId="Style_37" w:type="paragraph">
    <w:name w:val="heading 8"/>
    <w:basedOn w:val="Style_12"/>
    <w:next w:val="Style_12"/>
    <w:link w:val="Style_37_ch"/>
    <w:uiPriority w:val="9"/>
    <w:qFormat/>
    <w:pPr>
      <w:keepNext w:val="1"/>
      <w:keepLines w:val="1"/>
      <w:numPr>
        <w:ilvl w:val="7"/>
        <w:numId w:val="1"/>
      </w:numPr>
      <w:spacing w:after="0" w:before="200"/>
      <w:ind w:firstLine="482" w:left="0"/>
      <w:outlineLvl w:val="7"/>
    </w:pPr>
    <w:rPr>
      <w:color w:val="4F81BD"/>
      <w:sz w:val="20"/>
    </w:rPr>
  </w:style>
  <w:style w:styleId="Style_37_ch" w:type="character">
    <w:name w:val="heading 8"/>
    <w:basedOn w:val="Style_12_ch"/>
    <w:link w:val="Style_37"/>
    <w:rPr>
      <w:color w:val="4F81BD"/>
      <w:sz w:val="20"/>
    </w:rPr>
  </w:style>
  <w:style w:styleId="Style_38" w:type="paragraph">
    <w:name w:val="toc 1"/>
    <w:next w:val="Style_12"/>
    <w:link w:val="Style_38_ch"/>
    <w:uiPriority w:val="39"/>
    <w:pPr>
      <w:ind w:firstLine="0" w:left="0"/>
    </w:pPr>
    <w:rPr>
      <w:rFonts w:ascii="XO Thames" w:hAnsi="XO Thames"/>
      <w:b w:val="1"/>
    </w:rPr>
  </w:style>
  <w:style w:styleId="Style_38_ch" w:type="character">
    <w:name w:val="toc 1"/>
    <w:link w:val="Style_38"/>
    <w:rPr>
      <w:rFonts w:ascii="XO Thames" w:hAnsi="XO Thames"/>
      <w:b w:val="1"/>
    </w:rPr>
  </w:style>
  <w:style w:styleId="Style_39" w:type="paragraph">
    <w:name w:val="Header and Footer"/>
    <w:link w:val="Style_39_ch"/>
    <w:pPr>
      <w:spacing w:line="360" w:lineRule="auto"/>
      <w:ind/>
    </w:pPr>
    <w:rPr>
      <w:rFonts w:ascii="XO Thames" w:hAnsi="XO Thames"/>
      <w:sz w:val="20"/>
    </w:rPr>
  </w:style>
  <w:style w:styleId="Style_39_ch" w:type="character">
    <w:name w:val="Header and Footer"/>
    <w:link w:val="Style_39"/>
    <w:rPr>
      <w:rFonts w:ascii="XO Thames" w:hAnsi="XO Thames"/>
      <w:sz w:val="20"/>
    </w:rPr>
  </w:style>
  <w:style w:styleId="Style_40" w:type="paragraph">
    <w:name w:val="toc 9"/>
    <w:next w:val="Style_12"/>
    <w:link w:val="Style_40_ch"/>
    <w:uiPriority w:val="39"/>
    <w:pPr>
      <w:ind w:firstLine="0" w:left="1600"/>
    </w:pPr>
  </w:style>
  <w:style w:styleId="Style_40_ch" w:type="character">
    <w:name w:val="toc 9"/>
    <w:link w:val="Style_40"/>
  </w:style>
  <w:style w:styleId="Style_11" w:type="paragraph">
    <w:name w:val="Стиль"/>
    <w:link w:val="Style_11_ch"/>
    <w:pPr>
      <w:widowControl w:val="0"/>
      <w:ind/>
    </w:pPr>
    <w:rPr>
      <w:rFonts w:ascii="Arial" w:hAnsi="Arial"/>
      <w:sz w:val="24"/>
    </w:rPr>
  </w:style>
  <w:style w:styleId="Style_11_ch" w:type="character">
    <w:name w:val="Стиль"/>
    <w:link w:val="Style_11"/>
    <w:rPr>
      <w:rFonts w:ascii="Arial" w:hAnsi="Arial"/>
      <w:sz w:val="24"/>
    </w:rPr>
  </w:style>
  <w:style w:styleId="Style_41" w:type="paragraph">
    <w:name w:val="footnote text unindented"/>
    <w:basedOn w:val="Style_10"/>
    <w:link w:val="Style_41_ch"/>
    <w:pPr>
      <w:spacing w:line="216" w:lineRule="auto"/>
      <w:ind/>
    </w:pPr>
    <w:rPr>
      <w:sz w:val="20"/>
    </w:rPr>
  </w:style>
  <w:style w:styleId="Style_41_ch" w:type="character">
    <w:name w:val="footnote text unindented"/>
    <w:basedOn w:val="Style_10_ch"/>
    <w:link w:val="Style_41"/>
    <w:rPr>
      <w:sz w:val="20"/>
    </w:rPr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43" w:type="paragraph">
    <w:name w:val="Intense Emphasis"/>
    <w:link w:val="Style_43_ch"/>
    <w:rPr>
      <w:b w:val="1"/>
      <w:i w:val="1"/>
      <w:color w:val="4F81BD"/>
    </w:rPr>
  </w:style>
  <w:style w:styleId="Style_43_ch" w:type="character">
    <w:name w:val="Intense Emphasis"/>
    <w:link w:val="Style_43"/>
    <w:rPr>
      <w:b w:val="1"/>
      <w:i w:val="1"/>
      <w:color w:val="4F81BD"/>
    </w:rPr>
  </w:style>
  <w:style w:styleId="Style_44" w:type="paragraph">
    <w:name w:val="toc 8"/>
    <w:next w:val="Style_12"/>
    <w:link w:val="Style_44_ch"/>
    <w:uiPriority w:val="39"/>
    <w:pPr>
      <w:ind w:firstLine="0" w:left="1400"/>
    </w:pPr>
  </w:style>
  <w:style w:styleId="Style_44_ch" w:type="character">
    <w:name w:val="toc 8"/>
    <w:link w:val="Style_44"/>
  </w:style>
  <w:style w:styleId="Style_45" w:type="paragraph">
    <w:name w:val="Document Map"/>
    <w:basedOn w:val="Style_12"/>
    <w:link w:val="Style_45_ch"/>
    <w:pPr>
      <w:spacing w:after="0" w:line="240" w:lineRule="auto"/>
      <w:ind/>
    </w:pPr>
    <w:rPr>
      <w:rFonts w:ascii="Tahoma" w:hAnsi="Tahoma"/>
      <w:sz w:val="16"/>
    </w:rPr>
  </w:style>
  <w:style w:styleId="Style_45_ch" w:type="character">
    <w:name w:val="Document Map"/>
    <w:basedOn w:val="Style_12_ch"/>
    <w:link w:val="Style_45"/>
    <w:rPr>
      <w:rFonts w:ascii="Tahoma" w:hAnsi="Tahoma"/>
      <w:sz w:val="16"/>
    </w:rPr>
  </w:style>
  <w:style w:styleId="Style_46" w:type="paragraph">
    <w:name w:val="toc 5"/>
    <w:next w:val="Style_12"/>
    <w:link w:val="Style_46_ch"/>
    <w:uiPriority w:val="39"/>
    <w:pPr>
      <w:ind w:firstLine="0" w:left="800"/>
    </w:pPr>
  </w:style>
  <w:style w:styleId="Style_46_ch" w:type="character">
    <w:name w:val="toc 5"/>
    <w:link w:val="Style_46"/>
  </w:style>
  <w:style w:styleId="Style_47" w:type="paragraph">
    <w:name w:val="heading 1 unnumbered"/>
    <w:basedOn w:val="Style_12"/>
    <w:next w:val="Style_12"/>
    <w:link w:val="Style_47_ch"/>
    <w:pPr>
      <w:keepNext w:val="1"/>
      <w:keepLines w:val="1"/>
      <w:spacing w:before="240"/>
      <w:ind w:firstLine="0" w:left="0"/>
      <w:jc w:val="center"/>
      <w:outlineLvl w:val="0"/>
    </w:pPr>
    <w:rPr>
      <w:b w:val="1"/>
      <w:sz w:val="24"/>
    </w:rPr>
  </w:style>
  <w:style w:styleId="Style_47_ch" w:type="character">
    <w:name w:val="heading 1 unnumbered"/>
    <w:basedOn w:val="Style_12_ch"/>
    <w:link w:val="Style_47"/>
    <w:rPr>
      <w:b w:val="1"/>
      <w:sz w:val="24"/>
    </w:rPr>
  </w:style>
  <w:style w:styleId="Style_48" w:type="paragraph">
    <w:name w:val="Warning"/>
    <w:basedOn w:val="Style_12"/>
    <w:next w:val="Style_12"/>
    <w:link w:val="Style_48_ch"/>
    <w:pPr>
      <w:spacing w:after="0" w:before="120"/>
      <w:ind w:firstLine="0" w:left="964"/>
    </w:pPr>
    <w:rPr>
      <w:i w:val="1"/>
      <w:color w:val="E36C0A"/>
    </w:rPr>
  </w:style>
  <w:style w:styleId="Style_48_ch" w:type="character">
    <w:name w:val="Warning"/>
    <w:basedOn w:val="Style_12_ch"/>
    <w:link w:val="Style_48"/>
    <w:rPr>
      <w:i w:val="1"/>
      <w:color w:val="E36C0A"/>
    </w:rPr>
  </w:style>
  <w:style w:styleId="Style_49" w:type="paragraph">
    <w:name w:val="Subtitle"/>
    <w:basedOn w:val="Style_12"/>
    <w:next w:val="Style_12"/>
    <w:link w:val="Style_49_ch"/>
    <w:uiPriority w:val="11"/>
    <w:qFormat/>
    <w:pPr>
      <w:numPr>
        <w:ilvl w:val="1"/>
      </w:numPr>
    </w:pPr>
    <w:rPr>
      <w:i w:val="1"/>
      <w:color w:val="4F81BD"/>
      <w:spacing w:val="15"/>
      <w:sz w:val="24"/>
    </w:rPr>
  </w:style>
  <w:style w:styleId="Style_49_ch" w:type="character">
    <w:name w:val="Subtitle"/>
    <w:basedOn w:val="Style_12_ch"/>
    <w:link w:val="Style_49"/>
    <w:rPr>
      <w:i w:val="1"/>
      <w:color w:val="4F81BD"/>
      <w:spacing w:val="15"/>
      <w:sz w:val="24"/>
    </w:rPr>
  </w:style>
  <w:style w:styleId="Style_50" w:type="paragraph">
    <w:name w:val="toc 10"/>
    <w:next w:val="Style_12"/>
    <w:link w:val="Style_50_ch"/>
    <w:uiPriority w:val="39"/>
    <w:pPr>
      <w:ind w:firstLine="0" w:left="1800"/>
    </w:pPr>
  </w:style>
  <w:style w:styleId="Style_50_ch" w:type="character">
    <w:name w:val="toc 10"/>
    <w:link w:val="Style_50"/>
  </w:style>
  <w:style w:styleId="Style_3" w:type="paragraph">
    <w:name w:val="Title"/>
    <w:basedOn w:val="Style_12"/>
    <w:next w:val="Style_12"/>
    <w:link w:val="Style_3_ch"/>
    <w:uiPriority w:val="10"/>
    <w:qFormat/>
    <w:pPr>
      <w:keepNext w:val="1"/>
      <w:keepLines w:val="1"/>
      <w:spacing w:after="300" w:line="240" w:lineRule="auto"/>
      <w:ind w:firstLine="0" w:left="0"/>
      <w:contextualSpacing w:val="1"/>
      <w:jc w:val="center"/>
      <w:outlineLvl w:val="0"/>
    </w:pPr>
    <w:rPr>
      <w:b w:val="1"/>
      <w:spacing w:val="5"/>
      <w:sz w:val="28"/>
    </w:rPr>
  </w:style>
  <w:style w:styleId="Style_3_ch" w:type="character">
    <w:name w:val="Title"/>
    <w:basedOn w:val="Style_12_ch"/>
    <w:link w:val="Style_3"/>
    <w:rPr>
      <w:b w:val="1"/>
      <w:spacing w:val="5"/>
      <w:sz w:val="28"/>
    </w:rPr>
  </w:style>
  <w:style w:styleId="Style_51" w:type="paragraph">
    <w:name w:val="heading 4"/>
    <w:basedOn w:val="Style_12"/>
    <w:next w:val="Style_12"/>
    <w:link w:val="Style_51_ch"/>
    <w:uiPriority w:val="9"/>
    <w:qFormat/>
    <w:pPr>
      <w:numPr>
        <w:ilvl w:val="3"/>
        <w:numId w:val="1"/>
      </w:numPr>
      <w:ind w:firstLine="482" w:left="0"/>
      <w:outlineLvl w:val="3"/>
    </w:pPr>
    <w:rPr>
      <w:sz w:val="20"/>
    </w:rPr>
  </w:style>
  <w:style w:styleId="Style_51_ch" w:type="character">
    <w:name w:val="heading 4"/>
    <w:basedOn w:val="Style_12_ch"/>
    <w:link w:val="Style_51"/>
    <w:rPr>
      <w:sz w:val="20"/>
    </w:rPr>
  </w:style>
  <w:style w:styleId="Style_52" w:type="paragraph">
    <w:name w:val="Emphasis"/>
    <w:link w:val="Style_52_ch"/>
    <w:rPr>
      <w:i w:val="1"/>
    </w:rPr>
  </w:style>
  <w:style w:styleId="Style_52_ch" w:type="character">
    <w:name w:val="Emphasis"/>
    <w:link w:val="Style_52"/>
    <w:rPr>
      <w:i w:val="1"/>
    </w:rPr>
  </w:style>
  <w:style w:styleId="Style_53" w:type="paragraph">
    <w:name w:val="QuoteMargin"/>
    <w:link w:val="Style_53_ch"/>
    <w:pPr>
      <w:spacing w:before="120" w:line="276" w:lineRule="auto"/>
      <w:ind w:firstLine="482"/>
      <w:jc w:val="both"/>
    </w:pPr>
    <w:rPr>
      <w:sz w:val="22"/>
    </w:rPr>
  </w:style>
  <w:style w:styleId="Style_53_ch" w:type="character">
    <w:name w:val="QuoteMargin"/>
    <w:link w:val="Style_53"/>
    <w:rPr>
      <w:sz w:val="22"/>
    </w:rPr>
  </w:style>
  <w:style w:styleId="Style_54" w:type="paragraph">
    <w:name w:val="Balloon Text"/>
    <w:basedOn w:val="Style_12"/>
    <w:link w:val="Style_54_ch"/>
    <w:pPr>
      <w:spacing w:after="0" w:before="0" w:line="240" w:lineRule="auto"/>
      <w:ind/>
    </w:pPr>
    <w:rPr>
      <w:rFonts w:ascii="Segoe UI" w:hAnsi="Segoe UI"/>
      <w:sz w:val="18"/>
    </w:rPr>
  </w:style>
  <w:style w:styleId="Style_54_ch" w:type="character">
    <w:name w:val="Balloon Text"/>
    <w:basedOn w:val="Style_12_ch"/>
    <w:link w:val="Style_54"/>
    <w:rPr>
      <w:rFonts w:ascii="Segoe UI" w:hAnsi="Segoe UI"/>
      <w:sz w:val="18"/>
    </w:rPr>
  </w:style>
  <w:style w:styleId="Style_5" w:type="paragraph">
    <w:name w:val="heading 2"/>
    <w:basedOn w:val="Style_12"/>
    <w:next w:val="Style_12"/>
    <w:link w:val="Style_5_ch"/>
    <w:uiPriority w:val="9"/>
    <w:qFormat/>
    <w:pPr>
      <w:numPr>
        <w:ilvl w:val="1"/>
        <w:numId w:val="1"/>
      </w:numPr>
      <w:ind w:firstLine="482" w:left="0"/>
      <w:outlineLvl w:val="1"/>
    </w:pPr>
    <w:rPr>
      <w:sz w:val="20"/>
    </w:rPr>
  </w:style>
  <w:style w:styleId="Style_5_ch" w:type="character">
    <w:name w:val="heading 2"/>
    <w:basedOn w:val="Style_12_ch"/>
    <w:link w:val="Style_5"/>
    <w:rPr>
      <w:sz w:val="20"/>
    </w:rPr>
  </w:style>
  <w:style w:styleId="Style_55" w:type="paragraph">
    <w:name w:val="heading 6"/>
    <w:basedOn w:val="Style_12"/>
    <w:next w:val="Style_12"/>
    <w:link w:val="Style_55_ch"/>
    <w:uiPriority w:val="9"/>
    <w:qFormat/>
    <w:pPr>
      <w:keepNext w:val="1"/>
      <w:keepLines w:val="1"/>
      <w:numPr>
        <w:ilvl w:val="5"/>
        <w:numId w:val="1"/>
      </w:numPr>
      <w:spacing w:after="0" w:before="200"/>
      <w:ind w:firstLine="482" w:left="0"/>
      <w:outlineLvl w:val="5"/>
    </w:pPr>
    <w:rPr>
      <w:i w:val="1"/>
      <w:color w:val="243F60"/>
      <w:sz w:val="20"/>
    </w:rPr>
  </w:style>
  <w:style w:styleId="Style_55_ch" w:type="character">
    <w:name w:val="heading 6"/>
    <w:basedOn w:val="Style_12_ch"/>
    <w:link w:val="Style_55"/>
    <w:rPr>
      <w:i w:val="1"/>
      <w:color w:val="243F60"/>
      <w:sz w:val="20"/>
    </w:rPr>
  </w:style>
  <w:style w:styleId="Style_56" w:type="paragraph">
    <w:name w:val="Quote"/>
    <w:basedOn w:val="Style_12"/>
    <w:next w:val="Style_12"/>
    <w:link w:val="Style_56_ch"/>
    <w:pPr>
      <w:spacing w:after="0" w:before="120"/>
      <w:ind w:firstLine="0" w:left="964"/>
    </w:pPr>
    <w:rPr>
      <w:i w:val="1"/>
      <w:color w:val="000000"/>
      <w:sz w:val="20"/>
    </w:rPr>
  </w:style>
  <w:style w:styleId="Style_56_ch" w:type="character">
    <w:name w:val="Quote"/>
    <w:basedOn w:val="Style_12_ch"/>
    <w:link w:val="Style_56"/>
    <w:rPr>
      <w:i w:val="1"/>
      <w:color w:val="000000"/>
      <w:sz w:val="20"/>
    </w:r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6" Target="footer6.xml" Type="http://schemas.openxmlformats.org/officeDocument/2006/relationships/footer"/>
  <Relationship Id="rId13" Target="numbering.xml" Type="http://schemas.openxmlformats.org/officeDocument/2006/relationships/numbering"/>
  <Relationship Id="rId9" Target="styles.xml" Type="http://schemas.openxmlformats.org/officeDocument/2006/relationships/styles"/>
  <Relationship Id="rId5" Target="footer5.xml" Type="http://schemas.openxmlformats.org/officeDocument/2006/relationships/foot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2" Target="theme/theme1.xml" Type="http://schemas.openxmlformats.org/officeDocument/2006/relationships/them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2023-08-22T11:37:34Z</dcterms:modified>
</cp:coreProperties>
</file>